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东营区人民法院</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年度法治政府建设情况报告</w:t>
      </w:r>
    </w:p>
    <w:p>
      <w:pPr>
        <w:jc w:val="left"/>
        <w:rPr>
          <w:rFonts w:hint="eastAsia" w:ascii="仿宋" w:hAnsi="仿宋" w:eastAsia="仿宋" w:cs="仿宋"/>
          <w:sz w:val="32"/>
          <w:szCs w:val="32"/>
          <w:lang w:eastAsia="zh-CN"/>
        </w:rPr>
      </w:pPr>
    </w:p>
    <w:p>
      <w:pPr>
        <w:jc w:val="left"/>
      </w:pPr>
      <w:r>
        <w:rPr>
          <w:rFonts w:hint="eastAsia" w:ascii="楷体_GB2312" w:hAnsi="楷体_GB2312" w:eastAsia="楷体_GB2312" w:cs="楷体_GB2312"/>
          <w:sz w:val="32"/>
          <w:szCs w:val="32"/>
          <w:lang w:eastAsia="zh-CN"/>
        </w:rPr>
        <w:t>区委、区政府：</w:t>
      </w:r>
      <w:bookmarkStart w:id="0" w:name="_GoBack"/>
      <w:bookmarkEnd w:id="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2023年以来，在区委正确领导、市法院有力指导下，东营区法院深入学习贯彻习近平法治思想，严格按照区委全面依法治区部署要求，</w:t>
      </w:r>
      <w:r>
        <w:rPr>
          <w:rFonts w:hint="eastAsia" w:ascii="仿宋_GB2312" w:hAnsi="仿宋_GB2312" w:eastAsia="仿宋_GB2312" w:cs="仿宋_GB2312"/>
          <w:sz w:val="32"/>
          <w:szCs w:val="32"/>
        </w:rPr>
        <w:t>认真履行职责，强化司法和行政的良性互动、分工协</w:t>
      </w:r>
      <w:r>
        <w:rPr>
          <w:rFonts w:hint="eastAsia" w:ascii="仿宋_GB2312" w:hAnsi="仿宋_GB2312" w:eastAsia="仿宋_GB2312" w:cs="仿宋_GB2312"/>
          <w:kern w:val="0"/>
          <w:sz w:val="32"/>
          <w:szCs w:val="32"/>
        </w:rPr>
        <w:t>作，推进法治政府建设成效显著</w:t>
      </w:r>
      <w:r>
        <w:rPr>
          <w:rFonts w:hint="eastAsia" w:ascii="仿宋_GB2312" w:hAnsi="仿宋_GB2312" w:eastAsia="仿宋_GB2312" w:cs="仿宋_GB2312"/>
          <w:sz w:val="32"/>
          <w:szCs w:val="32"/>
        </w:rPr>
        <w:t>。现将有关情况汇报如下：</w:t>
      </w:r>
    </w:p>
    <w:p>
      <w:pPr>
        <w:spacing w:line="560" w:lineRule="exact"/>
        <w:ind w:firstLine="640" w:firstLineChars="200"/>
        <w:outlineLvl w:val="0"/>
        <w:rPr>
          <w:rFonts w:ascii="黑体" w:hAnsi="黑体" w:eastAsia="黑体" w:cs="仿宋_GB2312"/>
          <w:bCs/>
          <w:sz w:val="32"/>
          <w:szCs w:val="32"/>
        </w:rPr>
      </w:pPr>
      <w:r>
        <w:rPr>
          <w:rFonts w:hint="eastAsia" w:ascii="黑体" w:hAnsi="黑体" w:eastAsia="黑体" w:cs="仿宋_GB2312"/>
          <w:bCs/>
          <w:sz w:val="32"/>
          <w:szCs w:val="32"/>
        </w:rPr>
        <w:t>一、基本工作情况</w:t>
      </w:r>
    </w:p>
    <w:p>
      <w:pPr>
        <w:spacing w:line="560" w:lineRule="exact"/>
        <w:ind w:firstLine="640" w:firstLineChars="200"/>
        <w:rPr>
          <w:rFonts w:ascii="仿宋_GB2312" w:hAnsi="仿宋_GB2312" w:eastAsia="仿宋_GB2312" w:cs="仿宋_GB2312"/>
          <w:sz w:val="32"/>
          <w:szCs w:val="32"/>
        </w:rPr>
      </w:pPr>
      <w:r>
        <w:rPr>
          <w:rFonts w:hint="eastAsia" w:ascii="楷体_GB2312" w:hAnsi="楷体" w:eastAsia="楷体_GB2312" w:cs="楷体"/>
          <w:sz w:val="32"/>
          <w:szCs w:val="32"/>
        </w:rPr>
        <w:t>（一）坚持党</w:t>
      </w:r>
      <w:r>
        <w:rPr>
          <w:rFonts w:hint="eastAsia" w:ascii="楷体_GB2312" w:hAnsi="仿宋_GB2312" w:eastAsia="楷体_GB2312" w:cs="仿宋_GB2312"/>
          <w:kern w:val="0"/>
          <w:sz w:val="32"/>
          <w:szCs w:val="32"/>
        </w:rPr>
        <w:t>的领导，确保正确政治方向</w:t>
      </w:r>
      <w:r>
        <w:rPr>
          <w:rFonts w:hint="eastAsia" w:ascii="仿宋_GB2312" w:hAnsi="仿宋_GB2312" w:eastAsia="仿宋_GB2312" w:cs="仿宋_GB2312"/>
          <w:kern w:val="0"/>
          <w:sz w:val="32"/>
          <w:szCs w:val="32"/>
        </w:rPr>
        <w:t>。抓住领导</w:t>
      </w:r>
      <w:r>
        <w:rPr>
          <w:rFonts w:hint="eastAsia" w:ascii="仿宋_GB2312" w:hAnsi="仿宋_GB2312" w:eastAsia="仿宋_GB2312" w:cs="仿宋_GB2312"/>
          <w:sz w:val="32"/>
          <w:szCs w:val="32"/>
        </w:rPr>
        <w:t>干部“关键少数”，严格落实“第一议题”制度，学习贯彻党的二十大精神，开展集中学习、专题研讨46次。认真贯彻《中国共产党政法工作条例》，严格落实重大事项请示报告制度，就服务大局、社会治理、执行改革等重点工作向党委报告40余次。深化党建引领，制定2023年度党建工作要点、党支部“学习荟”学习计划，完成党支部换届选举，创建以“正义先锋”为统领的党建品牌矩阵，开展党建共建活动11次。</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（二）发挥职能作用，全力维护社会稳定。</w:t>
      </w:r>
      <w:r>
        <w:rPr>
          <w:rFonts w:hint="eastAsia" w:ascii="仿宋_GB2312" w:hAnsi="仿宋_GB2312" w:eastAsia="仿宋_GB2312" w:cs="仿宋_GB2312"/>
          <w:sz w:val="32"/>
          <w:szCs w:val="32"/>
        </w:rPr>
        <w:t>截止</w:t>
      </w:r>
      <w:r>
        <w:rPr>
          <w:rFonts w:hint="eastAsia" w:ascii="仿宋_GB2312" w:hAnsi="仿宋_GB2312" w:eastAsia="仿宋_GB2312" w:cs="仿宋_GB2312"/>
          <w:sz w:val="32"/>
          <w:szCs w:val="32"/>
          <w:lang w:val="en-US" w:eastAsia="zh-CN"/>
        </w:rPr>
        <w:t>12月15日</w:t>
      </w:r>
      <w:r>
        <w:rPr>
          <w:rFonts w:hint="eastAsia" w:ascii="仿宋_GB2312" w:hAnsi="仿宋_GB2312" w:eastAsia="仿宋_GB2312" w:cs="仿宋_GB2312"/>
          <w:sz w:val="32"/>
          <w:szCs w:val="32"/>
        </w:rPr>
        <w:t>，全口径新收案件16742件，结案15629件，为社会稳定</w:t>
      </w:r>
      <w:r>
        <w:rPr>
          <w:rFonts w:hint="eastAsia" w:ascii="仿宋_GB2312" w:hAnsi="仿宋_GB2312" w:eastAsia="仿宋_GB2312" w:cs="仿宋_GB2312"/>
          <w:kern w:val="0"/>
          <w:sz w:val="32"/>
          <w:szCs w:val="32"/>
        </w:rPr>
        <w:t>提供了强有力司</w:t>
      </w:r>
      <w:r>
        <w:rPr>
          <w:rFonts w:hint="eastAsia" w:ascii="仿宋_GB2312" w:eastAsia="仿宋_GB2312"/>
          <w:sz w:val="32"/>
          <w:szCs w:val="32"/>
        </w:rPr>
        <w:t>法保障</w:t>
      </w:r>
      <w:r>
        <w:rPr>
          <w:rFonts w:hint="eastAsia" w:ascii="仿宋_GB2312" w:hAnsi="仿宋_GB2312" w:eastAsia="仿宋_GB2312" w:cs="仿宋_GB2312"/>
          <w:sz w:val="32"/>
          <w:szCs w:val="32"/>
        </w:rPr>
        <w:t>。</w:t>
      </w:r>
      <w:r>
        <w:rPr>
          <w:rStyle w:val="11"/>
          <w:rFonts w:hint="eastAsia" w:ascii="仿宋_GB2312" w:hAnsi="CESI仿宋-GB2312" w:eastAsia="仿宋_GB2312" w:cs="CESI仿宋-GB2312"/>
          <w:b w:val="0"/>
          <w:sz w:val="32"/>
          <w:szCs w:val="32"/>
        </w:rPr>
        <w:t>以集约管理、集成查控、集力打击为基点的“东风劲”执行改革，通过流程再造着力实现内外部资源高效配置，受到省委政法委肯定。常态化集中执行36次，执行到位2000余万元，执行难题破解更有力度。推</w:t>
      </w:r>
      <w:r>
        <w:rPr>
          <w:rFonts w:hint="eastAsia" w:ascii="仿宋_GB2312" w:hAnsi="仿宋_GB2312" w:eastAsia="仿宋_GB2312" w:cs="仿宋_GB2312"/>
          <w:sz w:val="32"/>
          <w:szCs w:val="32"/>
        </w:rPr>
        <w:t>进“刑拘直诉”快速办案机制落地见效。妥善办理国务院联合调查组督办的涉案160余亿元重大涉税案件，得到省法院高度认可。依法审结莱钢公司贪腐系列窝案7件，追缴涉案赃款及罚金3200余万元。稳妥审理在全市有较大影响的百大集团、长安集团多名高管职务犯罪案件，避免矛盾激化。</w:t>
      </w:r>
    </w:p>
    <w:p>
      <w:pPr>
        <w:pStyle w:val="2"/>
        <w:spacing w:line="560" w:lineRule="exact"/>
        <w:ind w:firstLine="640"/>
        <w:rPr>
          <w:rFonts w:ascii="仿宋_GB2312" w:hAnsi="仿宋_GB2312" w:cs="仿宋_GB2312"/>
          <w:szCs w:val="32"/>
        </w:rPr>
      </w:pPr>
      <w:r>
        <w:rPr>
          <w:rFonts w:hint="eastAsia" w:ascii="楷体" w:hAnsi="楷体" w:eastAsia="楷体" w:cs="楷体"/>
          <w:szCs w:val="32"/>
        </w:rPr>
        <w:t>（三）服务区域发展，助推法治政府建设。</w:t>
      </w:r>
      <w:r>
        <w:rPr>
          <w:rFonts w:hint="eastAsia" w:ascii="仿宋_GB2312" w:hAnsi="仿宋_GB2312" w:cs="仿宋_GB2312"/>
          <w:szCs w:val="32"/>
        </w:rPr>
        <w:t>向区人大常委会专题汇报行政审判工作并获全票通过，编写行政审判白皮书。与区司法局联合召开4次“1＋1＋N”行政争议诉源治理与实质化解联席会议，深入研究法治政府建设共性及苗头性问题。扎实推进裁审衔接工作，与人力资源和社会保障局就构建裁审衔接长效工作机制达成一致并出台实施意见，充分利用裁审协同平台，统一裁判尺度、研讨疑难案件。深入区医院、原油库搬迁一线提供征拆咨询等司法服务。制发司法建议8份，堵塞出租车及文娱、教育等行业监管漏洞，向金融管理机构发出的防范金融风险司法建议获省法院肯定。坚持能动司法，到胜利建工、退役军人创业园、石油管理局等单位座谈问需，现场解决涉法问题。</w:t>
      </w:r>
    </w:p>
    <w:p>
      <w:pPr>
        <w:spacing w:line="560" w:lineRule="exact"/>
        <w:ind w:firstLine="640" w:firstLineChars="200"/>
        <w:rPr>
          <w:rStyle w:val="11"/>
          <w:rFonts w:ascii="仿宋_GB2312" w:hAnsi="仿宋_GB2312" w:eastAsia="仿宋_GB2312" w:cs="仿宋_GB2312"/>
          <w:b w:val="0"/>
          <w:sz w:val="32"/>
          <w:szCs w:val="32"/>
        </w:rPr>
      </w:pPr>
      <w:r>
        <w:rPr>
          <w:rFonts w:hint="eastAsia" w:ascii="楷体" w:hAnsi="楷体" w:eastAsia="楷体" w:cs="楷体"/>
          <w:sz w:val="32"/>
          <w:szCs w:val="32"/>
        </w:rPr>
        <w:t>（四）回应群众诉求，筑牢基层治理屏障。</w:t>
      </w:r>
      <w:r>
        <w:rPr>
          <w:rFonts w:hint="eastAsia" w:ascii="仿宋_GB2312" w:hAnsi="仿宋_GB2312" w:eastAsia="仿宋_GB2312" w:cs="仿宋_GB2312"/>
          <w:sz w:val="32"/>
          <w:szCs w:val="32"/>
        </w:rPr>
        <w:t>探索多元解纷路径，与区总工会共同出台《劳动争议诉调对接工作实施方案》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增加驻院特邀调解员至6名，嵌入速裁团队，实行“1+2+2+3”办案模式，成功调解案件</w:t>
      </w:r>
      <w:r>
        <w:rPr>
          <w:rFonts w:hint="eastAsia" w:ascii="仿宋_GB2312" w:hAnsi="仿宋_GB2312" w:eastAsia="仿宋_GB2312" w:cs="仿宋_GB2312"/>
          <w:sz w:val="32"/>
          <w:szCs w:val="32"/>
          <w:lang w:val="en-US" w:eastAsia="zh-CN"/>
        </w:rPr>
        <w:t>2988</w:t>
      </w:r>
      <w:r>
        <w:rPr>
          <w:rFonts w:hint="eastAsia" w:ascii="仿宋_GB2312" w:hAnsi="仿宋_GB2312" w:eastAsia="仿宋_GB2312" w:cs="仿宋_GB2312"/>
          <w:sz w:val="32"/>
          <w:szCs w:val="32"/>
        </w:rPr>
        <w:t>件。更新法官服务站、法官工作室、法官联络点人员，辅助镇街矛盾纠纷前端化解。</w:t>
      </w:r>
      <w:r>
        <w:rPr>
          <w:rStyle w:val="11"/>
          <w:rFonts w:hint="eastAsia" w:ascii="仿宋_GB2312" w:hAnsi="仿宋_GB2312" w:eastAsia="仿宋_GB2312" w:cs="仿宋_GB2312"/>
          <w:b w:val="0"/>
          <w:sz w:val="32"/>
          <w:szCs w:val="32"/>
        </w:rPr>
        <w:t>创建“法润新枫”法庭品牌，定期为合作社开展“法治体检”，与辛店派出所、东营黄河河务局开展联学共建，就加强专项普法、构建环境保护联动机制等问题达成一致意见。7次入村进集组织“走出去”普法活动，常态化开展巡回审判。</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（五）参与创新治理，延伸司法服务触角。</w:t>
      </w:r>
      <w:r>
        <w:rPr>
          <w:rFonts w:hint="eastAsia" w:ascii="仿宋_GB2312" w:hAnsi="仿宋_GB2312" w:eastAsia="仿宋_GB2312" w:cs="仿宋_GB2312"/>
          <w:sz w:val="32"/>
          <w:szCs w:val="32"/>
        </w:rPr>
        <w:t>深耕“朝阳花开”未成年审判工作品牌，与区关工委等部门联合制定社会支持体系合作机制。开展法葵少年、友善班级共建活动，</w:t>
      </w:r>
      <w:r>
        <w:rPr>
          <w:rFonts w:hint="eastAsia" w:ascii="仿宋_GB2312" w:hAnsi="仿宋_GB2312" w:eastAsia="仿宋_GB2312" w:cs="仿宋_GB2312"/>
          <w:kern w:val="0"/>
          <w:sz w:val="32"/>
          <w:szCs w:val="32"/>
        </w:rPr>
        <w:t>选派法治副校（园）</w:t>
      </w:r>
      <w:r>
        <w:rPr>
          <w:rFonts w:hint="eastAsia" w:ascii="仿宋_GB2312" w:hAnsi="仿宋_GB2312" w:eastAsia="仿宋_GB2312" w:cs="仿宋_GB2312"/>
          <w:sz w:val="32"/>
          <w:szCs w:val="32"/>
        </w:rPr>
        <w:t>长覆盖全区校园69所，在2所学校成立校园安全先议办公室。组建红色教育讲师团，在“百个班级进法院”活动基础上，开办法治夏令营3期，反响良好。家庭教育指导工作日臻完善，“一案一令一评估”制度入选省法院家庭指导典型案例，在全省交流工作经验。引入公证提存制度，完善未成年人司法救助金监管，工作经验被最高法院予以简报推广。</w:t>
      </w:r>
      <w:r>
        <w:rPr>
          <w:rStyle w:val="11"/>
          <w:rFonts w:hint="eastAsia" w:ascii="仿宋_GB2312" w:hAnsi="仿宋_GB2312" w:eastAsia="仿宋_GB2312" w:cs="仿宋_GB2312"/>
          <w:b w:val="0"/>
          <w:sz w:val="32"/>
          <w:szCs w:val="32"/>
        </w:rPr>
        <w:t>践行习近平生态文明思想，推行环资审判“三审合一”，</w:t>
      </w:r>
      <w:r>
        <w:rPr>
          <w:rFonts w:hint="eastAsia" w:ascii="仿宋_GB2312" w:hAnsi="仿宋_GB2312" w:eastAsia="仿宋_GB2312" w:cs="仿宋_GB2312"/>
          <w:sz w:val="32"/>
          <w:szCs w:val="32"/>
        </w:rPr>
        <w:t>与黄河河务局联合出台《关于建立东营黄河流域生态保护与高质量发展服务保障机制的实施意见》，开展世界环境日普法宣传系列活动，就完善东营黄河河道生态保护司法联动工作机制达成共识。</w:t>
      </w:r>
    </w:p>
    <w:p>
      <w:pPr>
        <w:spacing w:line="560" w:lineRule="exact"/>
        <w:ind w:firstLine="640" w:firstLineChars="200"/>
        <w:outlineLvl w:val="0"/>
        <w:rPr>
          <w:rFonts w:ascii="黑体" w:hAnsi="黑体" w:eastAsia="黑体" w:cs="仿宋_GB2312"/>
          <w:bCs/>
          <w:sz w:val="32"/>
          <w:szCs w:val="32"/>
        </w:rPr>
      </w:pPr>
      <w:r>
        <w:rPr>
          <w:rFonts w:hint="eastAsia" w:ascii="黑体" w:hAnsi="黑体" w:eastAsia="黑体" w:cs="仿宋_GB2312"/>
          <w:bCs/>
          <w:sz w:val="32"/>
          <w:szCs w:val="32"/>
        </w:rPr>
        <w:t>二、存在的问题</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总结今年以来的工作，成绩的取得主要得益于区委的正确领导，区政府、人大、政协的大力支持，</w:t>
      </w:r>
      <w:r>
        <w:rPr>
          <w:rFonts w:hint="eastAsia" w:ascii="仿宋_GB2312" w:hAnsi="Times New Roman" w:eastAsia="仿宋_GB2312" w:cs="Times New Roman"/>
          <w:sz w:val="32"/>
          <w:szCs w:val="32"/>
        </w:rPr>
        <w:t>但仍存在一些</w:t>
      </w:r>
      <w:r>
        <w:rPr>
          <w:rFonts w:hint="eastAsia" w:ascii="仿宋_GB2312" w:eastAsia="仿宋_GB2312" w:cs="Times New Roman"/>
          <w:sz w:val="32"/>
          <w:szCs w:val="32"/>
        </w:rPr>
        <w:t>问题</w:t>
      </w:r>
      <w:r>
        <w:rPr>
          <w:rFonts w:hint="eastAsia" w:ascii="仿宋_GB2312" w:hAnsi="Times New Roman" w:eastAsia="仿宋_GB2312" w:cs="Times New Roman"/>
          <w:sz w:val="32"/>
          <w:szCs w:val="32"/>
        </w:rPr>
        <w:t>：</w:t>
      </w:r>
      <w:r>
        <w:rPr>
          <w:rFonts w:hint="eastAsia" w:ascii="仿宋_GB2312" w:hAnsi="仿宋_GB2312" w:eastAsia="仿宋_GB2312" w:cs="仿宋_GB2312"/>
          <w:sz w:val="32"/>
          <w:szCs w:val="32"/>
        </w:rPr>
        <w:t>个别干警司法能力不能完全适应新形势、新任务、新要求的发展变化；矛盾纠纷多元化解力度仍需进一步强化；一站式多元解纷、优化营商环境、切实解决执行难等工作与上级的要求和人民群众的期待还有差距；校园法治宣传、家庭教育指导等工作的广度与深度需要进一步拓展。</w:t>
      </w:r>
    </w:p>
    <w:p>
      <w:pPr>
        <w:spacing w:line="560" w:lineRule="exact"/>
        <w:ind w:firstLine="640" w:firstLineChars="200"/>
        <w:outlineLvl w:val="0"/>
        <w:rPr>
          <w:rFonts w:ascii="黑体" w:hAnsi="黑体" w:eastAsia="黑体" w:cs="仿宋_GB2312"/>
          <w:bCs/>
          <w:sz w:val="32"/>
          <w:szCs w:val="32"/>
        </w:rPr>
      </w:pPr>
      <w:r>
        <w:rPr>
          <w:rFonts w:hint="eastAsia" w:ascii="黑体" w:hAnsi="黑体" w:eastAsia="黑体" w:cs="仿宋_GB2312"/>
          <w:bCs/>
          <w:sz w:val="32"/>
          <w:szCs w:val="32"/>
        </w:rPr>
        <w:t>三、下一步工作打算</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（一）聚焦习近平法治思想学宣贯。</w:t>
      </w:r>
      <w:r>
        <w:rPr>
          <w:rFonts w:hint="eastAsia" w:ascii="仿宋_GB2312" w:hAnsi="仿宋_GB2312" w:eastAsia="仿宋_GB2312" w:cs="仿宋_GB2312"/>
          <w:sz w:val="32"/>
          <w:szCs w:val="32"/>
        </w:rPr>
        <w:t>扎实开展主题教育工作，学好用好习近平总书记《论坚持全面依法治国》《习近平法治思想学习纲要》等权威辅助读物，组织和引导各级党员干部读原著、学原文、悟原理，持续深入学习领会习近平法治思想。严格落实“第一议题”制度，做好党建与业务深度融合，推进以“正义先锋”为统领的党建品牌矩阵创建。</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（二）聚焦发挥审判职能作用。</w:t>
      </w:r>
      <w:r>
        <w:rPr>
          <w:rFonts w:hint="eastAsia" w:ascii="仿宋_GB2312" w:hAnsi="仿宋_GB2312" w:eastAsia="仿宋_GB2312" w:cs="仿宋_GB2312"/>
          <w:sz w:val="32"/>
          <w:szCs w:val="32"/>
        </w:rPr>
        <w:t>推进扫黑除恶常态化，依法打击“黄赌毒”“盗抢骗”“食药环”等违法犯罪活动。持续关注涉民生等各类案件审理，</w:t>
      </w:r>
      <w:r>
        <w:rPr>
          <w:rFonts w:hint="eastAsia" w:ascii="仿宋_GB2312" w:hAnsi="仿宋_GB2312" w:eastAsia="仿宋_GB2312" w:cs="仿宋_GB2312"/>
          <w:bCs/>
          <w:kern w:val="0"/>
          <w:sz w:val="32"/>
          <w:szCs w:val="32"/>
        </w:rPr>
        <w:t>以“质量第一、效果优先、保证效率、案结事了”为目标，</w:t>
      </w:r>
      <w:r>
        <w:rPr>
          <w:rFonts w:hint="eastAsia" w:ascii="仿宋_GB2312" w:hAnsi="仿宋_GB2312" w:eastAsia="仿宋_GB2312" w:cs="仿宋_GB2312"/>
          <w:sz w:val="32"/>
          <w:szCs w:val="32"/>
        </w:rPr>
        <w:t>抓实长期未结案件清理，抓好三源治理，强化一站式服务体系升级建设，持续打造“东风劲”执行品牌。</w:t>
      </w:r>
    </w:p>
    <w:p>
      <w:pPr>
        <w:spacing w:line="56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（三）聚焦推进法治政府建设。</w:t>
      </w:r>
      <w:r>
        <w:rPr>
          <w:rFonts w:hint="eastAsia" w:ascii="仿宋_GB2312" w:eastAsia="仿宋_GB2312"/>
          <w:sz w:val="32"/>
          <w:szCs w:val="32"/>
        </w:rPr>
        <w:t>依法审结各类行政案件，进一步关注行政机关胜诉率、行政机关负责人出庭应诉率，加大邀请行政执法人员、司法监督员观摩庭审力度。</w:t>
      </w:r>
      <w:r>
        <w:rPr>
          <w:rFonts w:hint="eastAsia" w:ascii="仿宋_GB2312" w:hAnsi="仿宋_GB2312" w:eastAsia="仿宋_GB2312" w:cs="仿宋_GB2312"/>
          <w:sz w:val="32"/>
          <w:szCs w:val="32"/>
        </w:rPr>
        <w:t>推进“新时代枫桥式人民法庭”创建，丰富“朝阳花开”系列活动，深耕“东风劲”执行改革。广泛开展调查研究，注重成果转化。改进创新普法工作，运用新技术、新媒体开展“精准普法”。</w:t>
      </w:r>
    </w:p>
    <w:p>
      <w:pPr>
        <w:jc w:val="center"/>
        <w:rPr>
          <w:rFonts w:hint="eastAsia" w:ascii="仿宋_GB2312" w:hAnsi="仿宋" w:eastAsia="仿宋_GB2312" w:cs="Times New Roman"/>
          <w:color w:val="000000"/>
          <w:kern w:val="0"/>
          <w:sz w:val="32"/>
          <w:szCs w:val="32"/>
          <w:lang w:val="en-US" w:eastAsia="zh-CN"/>
        </w:rPr>
      </w:pPr>
      <w:r>
        <w:rPr>
          <w:rFonts w:hint="eastAsia" w:ascii="仿宋_GB2312" w:hAnsi="仿宋" w:eastAsia="仿宋_GB2312" w:cs="Times New Roman"/>
          <w:color w:val="000000"/>
          <w:kern w:val="0"/>
          <w:sz w:val="32"/>
          <w:szCs w:val="32"/>
          <w:lang w:val="en-US" w:eastAsia="zh-CN"/>
        </w:rPr>
        <w:t xml:space="preserve">                                   </w:t>
      </w:r>
      <w:r>
        <w:rPr>
          <w:rFonts w:hint="eastAsia" w:ascii="仿宋_GB2312" w:hAnsi="仿宋" w:eastAsia="仿宋_GB2312" w:cs="Times New Roman"/>
          <w:color w:val="000000"/>
          <w:kern w:val="0"/>
          <w:sz w:val="32"/>
          <w:szCs w:val="32"/>
          <w:lang w:eastAsia="zh-CN"/>
        </w:rPr>
        <w:t>东营区人民法院</w:t>
      </w:r>
      <w:r>
        <w:rPr>
          <w:rFonts w:hint="eastAsia" w:ascii="仿宋_GB2312" w:hAnsi="仿宋" w:eastAsia="仿宋_GB2312" w:cs="Times New Roman"/>
          <w:color w:val="000000"/>
          <w:kern w:val="0"/>
          <w:sz w:val="32"/>
          <w:szCs w:val="32"/>
          <w:lang w:val="en-US" w:eastAsia="zh-CN"/>
        </w:rPr>
        <w:t xml:space="preserve">                         </w:t>
      </w:r>
    </w:p>
    <w:p>
      <w:pPr>
        <w:jc w:val="right"/>
      </w:pPr>
      <w:r>
        <w:rPr>
          <w:rFonts w:hint="eastAsia" w:ascii="仿宋_GB2312" w:hAnsi="仿宋" w:eastAsia="仿宋_GB2312" w:cs="Times New Roman"/>
          <w:color w:val="000000"/>
          <w:kern w:val="0"/>
          <w:sz w:val="32"/>
          <w:szCs w:val="32"/>
          <w:lang w:val="en-US" w:eastAsia="zh-CN"/>
        </w:rPr>
        <w:t xml:space="preserve">  2023年12月15日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ESI仿宋-GB2312">
    <w:altName w:val="微软雅黑"/>
    <w:panose1 w:val="000000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 w:name="方正仿宋_GBK">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971464"/>
      <w:docPartObj>
        <w:docPartGallery w:val="autotext"/>
      </w:docPartObj>
    </w:sdtPr>
    <w:sdtContent>
      <w:p>
        <w:pPr>
          <w:pStyle w:val="8"/>
          <w:jc w:val="center"/>
        </w:pPr>
        <w:r>
          <w:fldChar w:fldCharType="begin"/>
        </w:r>
        <w:r>
          <w:instrText xml:space="preserve">PAGE   \* MERGEFORMAT</w:instrText>
        </w:r>
        <w:r>
          <w:fldChar w:fldCharType="separate"/>
        </w:r>
        <w:r>
          <w:rPr>
            <w:lang w:val="zh-CN"/>
          </w:rPr>
          <w:t>4</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268E6"/>
    <w:rsid w:val="000E4F0D"/>
    <w:rsid w:val="0010072F"/>
    <w:rsid w:val="001355A1"/>
    <w:rsid w:val="00247475"/>
    <w:rsid w:val="0028266D"/>
    <w:rsid w:val="002A22DA"/>
    <w:rsid w:val="002D1B8B"/>
    <w:rsid w:val="004431CD"/>
    <w:rsid w:val="004733AF"/>
    <w:rsid w:val="004C0137"/>
    <w:rsid w:val="004F61E1"/>
    <w:rsid w:val="00503EB4"/>
    <w:rsid w:val="00523358"/>
    <w:rsid w:val="005372D0"/>
    <w:rsid w:val="00546934"/>
    <w:rsid w:val="005B40F7"/>
    <w:rsid w:val="005C395C"/>
    <w:rsid w:val="00601215"/>
    <w:rsid w:val="00690B87"/>
    <w:rsid w:val="0085033E"/>
    <w:rsid w:val="008B250E"/>
    <w:rsid w:val="00927A42"/>
    <w:rsid w:val="00954CEB"/>
    <w:rsid w:val="00985DD1"/>
    <w:rsid w:val="00A04420"/>
    <w:rsid w:val="00A20F87"/>
    <w:rsid w:val="00A8793E"/>
    <w:rsid w:val="00AE0FA8"/>
    <w:rsid w:val="00BC0D09"/>
    <w:rsid w:val="00C02D38"/>
    <w:rsid w:val="00D135E6"/>
    <w:rsid w:val="00D2614B"/>
    <w:rsid w:val="00D331BF"/>
    <w:rsid w:val="00D5688F"/>
    <w:rsid w:val="00D955C2"/>
    <w:rsid w:val="00D97A68"/>
    <w:rsid w:val="00DB4DAE"/>
    <w:rsid w:val="00E00E4C"/>
    <w:rsid w:val="00F51F4F"/>
    <w:rsid w:val="00F75400"/>
    <w:rsid w:val="00FE5517"/>
    <w:rsid w:val="05D42DCF"/>
    <w:rsid w:val="0F272B7A"/>
    <w:rsid w:val="132268E6"/>
    <w:rsid w:val="497B3FC2"/>
    <w:rsid w:val="4C665586"/>
    <w:rsid w:val="71BB2F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spacing w:after="0"/>
      <w:ind w:left="0" w:leftChars="0" w:firstLine="420" w:firstLineChars="200"/>
    </w:pPr>
    <w:rPr>
      <w:rFonts w:ascii="Calibri" w:hAnsi="Calibri" w:eastAsia="仿宋_GB2312"/>
      <w:color w:val="000000"/>
      <w:sz w:val="32"/>
      <w:szCs w:val="22"/>
    </w:r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420" w:firstLineChars="200"/>
    </w:pPr>
  </w:style>
  <w:style w:type="paragraph" w:styleId="5">
    <w:name w:val="Document Map"/>
    <w:basedOn w:val="1"/>
    <w:link w:val="16"/>
    <w:qFormat/>
    <w:uiPriority w:val="0"/>
    <w:rPr>
      <w:rFonts w:ascii="宋体" w:eastAsia="宋体"/>
      <w:sz w:val="18"/>
      <w:szCs w:val="18"/>
    </w:rPr>
  </w:style>
  <w:style w:type="paragraph" w:styleId="6">
    <w:name w:val="Body Text"/>
    <w:basedOn w:val="1"/>
    <w:qFormat/>
    <w:uiPriority w:val="0"/>
    <w:pPr>
      <w:spacing w:after="120"/>
    </w:pPr>
  </w:style>
  <w:style w:type="paragraph" w:styleId="7">
    <w:name w:val="Balloon Text"/>
    <w:basedOn w:val="1"/>
    <w:link w:val="17"/>
    <w:uiPriority w:val="0"/>
    <w:rPr>
      <w:sz w:val="18"/>
      <w:szCs w:val="18"/>
    </w:rPr>
  </w:style>
  <w:style w:type="paragraph" w:styleId="8">
    <w:name w:val="footer"/>
    <w:basedOn w:val="1"/>
    <w:link w:val="18"/>
    <w:qFormat/>
    <w:uiPriority w:val="99"/>
    <w:pPr>
      <w:tabs>
        <w:tab w:val="center" w:pos="4153"/>
        <w:tab w:val="right" w:pos="8306"/>
      </w:tabs>
      <w:snapToGrid w:val="0"/>
      <w:jc w:val="left"/>
    </w:pPr>
    <w:rPr>
      <w:kern w:val="0"/>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11">
    <w:name w:val="Strong"/>
    <w:qFormat/>
    <w:uiPriority w:val="0"/>
    <w:rPr>
      <w:b/>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Table Text"/>
    <w:basedOn w:val="1"/>
    <w:semiHidden/>
    <w:qFormat/>
    <w:uiPriority w:val="0"/>
    <w:rPr>
      <w:rFonts w:ascii="仿宋" w:hAnsi="仿宋" w:eastAsia="仿宋" w:cs="仿宋"/>
      <w:sz w:val="31"/>
      <w:szCs w:val="31"/>
      <w:lang w:eastAsia="en-US"/>
    </w:rPr>
  </w:style>
  <w:style w:type="character" w:customStyle="1" w:styleId="15">
    <w:name w:val="页眉 Char"/>
    <w:basedOn w:val="10"/>
    <w:link w:val="9"/>
    <w:qFormat/>
    <w:uiPriority w:val="0"/>
    <w:rPr>
      <w:rFonts w:asciiTheme="minorHAnsi" w:hAnsiTheme="minorHAnsi" w:eastAsiaTheme="minorEastAsia" w:cstheme="minorBidi"/>
      <w:kern w:val="2"/>
      <w:sz w:val="18"/>
      <w:szCs w:val="18"/>
    </w:rPr>
  </w:style>
  <w:style w:type="character" w:customStyle="1" w:styleId="16">
    <w:name w:val="文档结构图 Char"/>
    <w:basedOn w:val="10"/>
    <w:link w:val="5"/>
    <w:qFormat/>
    <w:uiPriority w:val="0"/>
    <w:rPr>
      <w:rFonts w:ascii="宋体" w:hAnsiTheme="minorHAnsi" w:cstheme="minorBidi"/>
      <w:kern w:val="2"/>
      <w:sz w:val="18"/>
      <w:szCs w:val="18"/>
    </w:rPr>
  </w:style>
  <w:style w:type="character" w:customStyle="1" w:styleId="17">
    <w:name w:val="批注框文本 Char"/>
    <w:basedOn w:val="10"/>
    <w:link w:val="7"/>
    <w:uiPriority w:val="0"/>
    <w:rPr>
      <w:rFonts w:asciiTheme="minorHAnsi" w:hAnsiTheme="minorHAnsi" w:eastAsiaTheme="minorEastAsia" w:cstheme="minorBidi"/>
      <w:kern w:val="2"/>
      <w:sz w:val="18"/>
      <w:szCs w:val="18"/>
    </w:rPr>
  </w:style>
  <w:style w:type="character" w:customStyle="1" w:styleId="18">
    <w:name w:val="页脚 Char"/>
    <w:basedOn w:val="10"/>
    <w:link w:val="8"/>
    <w:uiPriority w:val="99"/>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DF439B-1CCA-4B16-B338-AE000A7A5AFA}">
  <ds:schemaRefs/>
</ds:datastoreItem>
</file>

<file path=docProps/app.xml><?xml version="1.0" encoding="utf-8"?>
<Properties xmlns="http://schemas.openxmlformats.org/officeDocument/2006/extended-properties" xmlns:vt="http://schemas.openxmlformats.org/officeDocument/2006/docPropsVTypes">
  <Template>Normal</Template>
  <Pages>4</Pages>
  <Words>873</Words>
  <Characters>1346</Characters>
  <Lines>168</Lines>
  <Paragraphs>184</Paragraphs>
  <TotalTime>15</TotalTime>
  <ScaleCrop>false</ScaleCrop>
  <LinksUpToDate>false</LinksUpToDate>
  <CharactersWithSpaces>2035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2023-11-08T09:00:00Z</dcterms:created>
  <dc:creator>Administrator</dc:creator>
  <cp:lastModifiedBy>Administrator</cp:lastModifiedBy>
  <cp:lastPrinted>2023-11-09T09:12:00Z</cp:lastPrinted>
  <dcterms:modified xsi:type="dcterms:W3CDTF">2023-12-15T07:08:54Z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