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C7F" w:rsidRDefault="00672A1A">
      <w:pPr>
        <w:pStyle w:val="a3"/>
        <w:spacing w:line="1380" w:lineRule="exact"/>
        <w:jc w:val="center"/>
        <w:rPr>
          <w:rFonts w:ascii="方正小标宋_GBK" w:eastAsia="方正小标宋_GBK" w:hAnsi="方正小标宋简体"/>
          <w:bCs/>
          <w:color w:val="FF0000"/>
          <w:w w:val="55"/>
          <w:sz w:val="130"/>
          <w:szCs w:val="130"/>
        </w:rPr>
      </w:pPr>
      <w:bookmarkStart w:id="0" w:name="_GoBack"/>
      <w:bookmarkEnd w:id="0"/>
      <w:r>
        <w:rPr>
          <w:rFonts w:ascii="方正小标宋_GBK" w:eastAsia="方正小标宋_GBK" w:hAnsi="方正小标宋简体" w:hint="eastAsia"/>
          <w:bCs/>
          <w:color w:val="FF0000"/>
          <w:w w:val="55"/>
          <w:sz w:val="130"/>
          <w:szCs w:val="130"/>
        </w:rPr>
        <w:t>青岛市黄岛区人民法院文件</w:t>
      </w:r>
    </w:p>
    <w:p w:rsidR="00E52C7F" w:rsidRDefault="00E52C7F">
      <w:pPr>
        <w:spacing w:line="520" w:lineRule="exact"/>
        <w:ind w:firstLine="640"/>
        <w:jc w:val="center"/>
        <w:rPr>
          <w:rFonts w:ascii="仿宋_GB2312"/>
          <w:szCs w:val="32"/>
        </w:rPr>
      </w:pPr>
    </w:p>
    <w:p w:rsidR="00E52C7F" w:rsidRDefault="00E52C7F">
      <w:pPr>
        <w:spacing w:line="520" w:lineRule="exact"/>
        <w:ind w:firstLine="640"/>
        <w:jc w:val="center"/>
        <w:rPr>
          <w:rFonts w:ascii="仿宋_GB2312"/>
          <w:szCs w:val="32"/>
        </w:rPr>
      </w:pPr>
    </w:p>
    <w:p w:rsidR="00E52C7F" w:rsidRDefault="00672A1A">
      <w:pPr>
        <w:jc w:val="center"/>
        <w:rPr>
          <w:rFonts w:ascii="仿宋_GB2312" w:hAnsi="仿宋"/>
          <w:szCs w:val="32"/>
        </w:rPr>
      </w:pPr>
      <w:r>
        <w:rPr>
          <w:rFonts w:ascii="仿宋_GB2312" w:hAnsi="仿宋" w:hint="eastAsia"/>
          <w:szCs w:val="32"/>
        </w:rPr>
        <w:t>青黄法发〔2021〕</w:t>
      </w:r>
      <w:r w:rsidR="000238A0">
        <w:rPr>
          <w:rFonts w:ascii="仿宋_GB2312" w:hAnsi="仿宋" w:hint="eastAsia"/>
          <w:szCs w:val="32"/>
        </w:rPr>
        <w:t>55</w:t>
      </w:r>
      <w:r>
        <w:rPr>
          <w:rFonts w:ascii="仿宋_GB2312" w:hAnsi="仿宋" w:hint="eastAsia"/>
          <w:szCs w:val="32"/>
        </w:rPr>
        <w:t>号</w:t>
      </w:r>
    </w:p>
    <w:p w:rsidR="00E52C7F" w:rsidRDefault="003F1DC0">
      <w:pPr>
        <w:spacing w:line="400" w:lineRule="exact"/>
        <w:jc w:val="center"/>
        <w:rPr>
          <w:rFonts w:ascii="黑体" w:eastAsia="黑体" w:hAnsi="黑体"/>
          <w:sz w:val="36"/>
          <w:szCs w:val="36"/>
        </w:rPr>
      </w:pPr>
      <w:r>
        <w:rPr>
          <w:rFonts w:ascii="黑体" w:eastAsia="黑体" w:hAnsi="黑体"/>
          <w:noProof/>
          <w:sz w:val="36"/>
          <w:szCs w:val="36"/>
        </w:rPr>
        <mc:AlternateContent>
          <mc:Choice Requires="wps">
            <w:drawing>
              <wp:anchor distT="0" distB="0" distL="114300" distR="114300" simplePos="0" relativeHeight="251656704" behindDoc="0" locked="0" layoutInCell="1" allowOverlap="1">
                <wp:simplePos x="0" y="0"/>
                <wp:positionH relativeFrom="column">
                  <wp:posOffset>35560</wp:posOffset>
                </wp:positionH>
                <wp:positionV relativeFrom="paragraph">
                  <wp:posOffset>107950</wp:posOffset>
                </wp:positionV>
                <wp:extent cx="5547360" cy="635"/>
                <wp:effectExtent l="16510" t="12700" r="17780" b="1524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Connector 2" o:spid="_x0000_s1026" type="#_x0000_t32" style="position:absolute;left:0;text-align:left;margin-left:2.8pt;margin-top:8.5pt;width:436.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" strokecolor="red" strokeweight="1.5pt"/>
            </w:pict>
          </mc:Fallback>
        </mc:AlternateContent>
      </w:r>
    </w:p>
    <w:p w:rsidR="00E52C7F" w:rsidRDefault="00E52C7F">
      <w:pPr>
        <w:spacing w:line="440" w:lineRule="exact"/>
        <w:jc w:val="center"/>
        <w:rPr>
          <w:color w:val="FF0000"/>
          <w:u w:val="thick"/>
        </w:rPr>
      </w:pPr>
    </w:p>
    <w:p w:rsidR="00E52C7F" w:rsidRDefault="00672A1A">
      <w:pPr>
        <w:spacing w:line="560" w:lineRule="exact"/>
        <w:jc w:val="center"/>
        <w:rPr>
          <w:rFonts w:ascii="方正小标宋_GBK" w:eastAsia="方正小标宋_GBK" w:hAnsi="黑体" w:cs="黑体"/>
          <w:color w:val="FF0000"/>
          <w:sz w:val="44"/>
          <w:szCs w:val="44"/>
          <w:u w:val="thick"/>
        </w:rPr>
      </w:pPr>
      <w:r>
        <w:rPr>
          <w:rFonts w:ascii="方正小标宋_GBK" w:eastAsia="方正小标宋_GBK" w:hAnsi="黑体" w:cs="黑体" w:hint="eastAsia"/>
          <w:bCs/>
          <w:sz w:val="44"/>
          <w:szCs w:val="44"/>
        </w:rPr>
        <w:t>青岛市黄岛区人民法院</w:t>
      </w:r>
    </w:p>
    <w:p w:rsidR="00E52C7F" w:rsidRDefault="00672A1A">
      <w:pPr>
        <w:spacing w:line="560" w:lineRule="exact"/>
        <w:jc w:val="center"/>
        <w:rPr>
          <w:rFonts w:ascii="方正小标宋_GBK" w:eastAsia="方正小标宋_GBK" w:hAnsi="黑体" w:cs="黑体"/>
          <w:bCs/>
          <w:sz w:val="44"/>
          <w:szCs w:val="44"/>
        </w:rPr>
      </w:pPr>
      <w:r>
        <w:rPr>
          <w:rFonts w:ascii="方正小标宋_GBK" w:eastAsia="方正小标宋_GBK" w:hAnsi="黑体" w:cs="黑体" w:hint="eastAsia"/>
          <w:bCs/>
          <w:sz w:val="44"/>
          <w:szCs w:val="44"/>
        </w:rPr>
        <w:t>关于印发青岛市黄岛区人民法院《关于依法规范管理人履职行为的规定（试行）》的通知</w:t>
      </w:r>
    </w:p>
    <w:p w:rsidR="00E52C7F" w:rsidRDefault="00E52C7F">
      <w:pPr>
        <w:spacing w:line="560" w:lineRule="exact"/>
        <w:rPr>
          <w:rFonts w:ascii="仿宋" w:eastAsia="仿宋" w:hAnsi="仿宋" w:cs="仿宋"/>
          <w:bCs/>
          <w:szCs w:val="32"/>
        </w:rPr>
      </w:pPr>
    </w:p>
    <w:p w:rsidR="00E52C7F" w:rsidRDefault="00672A1A">
      <w:pPr>
        <w:spacing w:line="560" w:lineRule="exact"/>
        <w:rPr>
          <w:rFonts w:ascii="仿宋_GB2312" w:hAnsi="仿宋" w:cs="仿宋"/>
          <w:bCs/>
          <w:szCs w:val="32"/>
        </w:rPr>
      </w:pPr>
      <w:r>
        <w:rPr>
          <w:rFonts w:ascii="仿宋_GB2312" w:hAnsi="仿宋" w:cs="仿宋" w:hint="eastAsia"/>
          <w:bCs/>
          <w:szCs w:val="32"/>
        </w:rPr>
        <w:t>各部门：</w:t>
      </w:r>
    </w:p>
    <w:p w:rsidR="00E52C7F" w:rsidRDefault="00672A1A">
      <w:pPr>
        <w:spacing w:line="560" w:lineRule="exact"/>
        <w:ind w:firstLineChars="200" w:firstLine="632"/>
        <w:jc w:val="left"/>
        <w:rPr>
          <w:rFonts w:ascii="仿宋_GB2312" w:hAnsi="宋体" w:cs="宋体"/>
          <w:bCs/>
          <w:szCs w:val="32"/>
        </w:rPr>
      </w:pPr>
      <w:r>
        <w:rPr>
          <w:rFonts w:ascii="仿宋_GB2312" w:hAnsi="仿宋" w:cs="仿宋" w:hint="eastAsia"/>
          <w:bCs/>
          <w:szCs w:val="32"/>
        </w:rPr>
        <w:t>《青岛市黄岛区人民法院关于依法规范管理人履职行为的规定（试行）》已经青岛市黄岛区人民法院审判委员会全体会议2021年第18次会议讨论通过，现予以印发，自2021年10月23日起施行。</w:t>
      </w:r>
    </w:p>
    <w:p w:rsidR="00E52C7F" w:rsidRDefault="00E52C7F">
      <w:pPr>
        <w:spacing w:line="560" w:lineRule="exact"/>
        <w:ind w:firstLineChars="200" w:firstLine="875"/>
        <w:jc w:val="center"/>
        <w:rPr>
          <w:rFonts w:ascii="仿宋_GB2312" w:hAnsi="宋体" w:cs="宋体"/>
          <w:b/>
          <w:sz w:val="44"/>
        </w:rPr>
      </w:pPr>
    </w:p>
    <w:p w:rsidR="00E52C7F" w:rsidRDefault="00E52C7F">
      <w:pPr>
        <w:spacing w:line="560" w:lineRule="exact"/>
        <w:ind w:firstLineChars="200" w:firstLine="875"/>
        <w:jc w:val="center"/>
        <w:rPr>
          <w:rFonts w:ascii="仿宋_GB2312" w:hAnsi="宋体" w:cs="宋体"/>
          <w:b/>
          <w:sz w:val="44"/>
        </w:rPr>
      </w:pPr>
    </w:p>
    <w:p w:rsidR="00E52C7F" w:rsidRDefault="00672A1A">
      <w:pPr>
        <w:spacing w:line="560" w:lineRule="exact"/>
        <w:ind w:right="316"/>
        <w:jc w:val="right"/>
        <w:rPr>
          <w:rFonts w:ascii="仿宋_GB2312" w:hAnsi="宋体" w:cs="宋体"/>
          <w:szCs w:val="32"/>
        </w:rPr>
      </w:pPr>
      <w:r>
        <w:rPr>
          <w:rFonts w:ascii="仿宋_GB2312" w:hAnsi="宋体" w:cs="宋体" w:hint="eastAsia"/>
          <w:szCs w:val="32"/>
        </w:rPr>
        <w:t xml:space="preserve">青岛市黄岛区人民法院                   </w:t>
      </w:r>
    </w:p>
    <w:p w:rsidR="00E52C7F" w:rsidRDefault="00672A1A">
      <w:pPr>
        <w:spacing w:line="560" w:lineRule="exact"/>
        <w:ind w:right="632"/>
        <w:jc w:val="right"/>
        <w:rPr>
          <w:rFonts w:ascii="仿宋_GB2312" w:hAnsi="仿宋" w:cs="仿宋"/>
          <w:bCs/>
          <w:szCs w:val="32"/>
        </w:rPr>
      </w:pPr>
      <w:r>
        <w:rPr>
          <w:rFonts w:ascii="仿宋_GB2312" w:hAnsi="仿宋" w:cs="仿宋" w:hint="eastAsia"/>
          <w:bCs/>
          <w:szCs w:val="32"/>
        </w:rPr>
        <w:t>2021年10月23日</w:t>
      </w:r>
    </w:p>
    <w:p w:rsidR="00E52C7F" w:rsidRDefault="00E52C7F">
      <w:pPr>
        <w:spacing w:line="560" w:lineRule="exact"/>
        <w:ind w:right="632"/>
        <w:jc w:val="right"/>
        <w:rPr>
          <w:rFonts w:ascii="仿宋_GB2312" w:hAnsi="仿宋" w:cs="仿宋"/>
          <w:bCs/>
          <w:szCs w:val="32"/>
        </w:rPr>
      </w:pPr>
    </w:p>
    <w:p w:rsidR="00E52C7F" w:rsidRDefault="00E52C7F">
      <w:pPr>
        <w:spacing w:line="560" w:lineRule="exact"/>
        <w:rPr>
          <w:rFonts w:ascii="仿宋" w:eastAsia="仿宋" w:hAnsi="仿宋" w:cs="仿宋"/>
          <w:szCs w:val="32"/>
        </w:rPr>
      </w:pPr>
    </w:p>
    <w:p w:rsidR="000238A0" w:rsidRDefault="000238A0" w:rsidP="000238A0">
      <w:pPr>
        <w:spacing w:line="680" w:lineRule="exact"/>
        <w:jc w:val="center"/>
        <w:rPr>
          <w:rFonts w:ascii="方正小标宋_GBK" w:eastAsia="方正小标宋_GBK" w:hAnsi="宋体" w:cs="Calibri"/>
          <w:kern w:val="2"/>
          <w:sz w:val="44"/>
          <w:szCs w:val="44"/>
        </w:rPr>
      </w:pPr>
      <w:r w:rsidRPr="000238A0">
        <w:rPr>
          <w:rFonts w:ascii="方正小标宋_GBK" w:eastAsia="方正小标宋_GBK" w:hAnsi="宋体" w:cs="Calibri" w:hint="eastAsia"/>
          <w:kern w:val="2"/>
          <w:sz w:val="44"/>
          <w:szCs w:val="44"/>
        </w:rPr>
        <w:lastRenderedPageBreak/>
        <w:t>青岛市黄岛区人民法院关于</w:t>
      </w:r>
    </w:p>
    <w:p w:rsidR="000238A0" w:rsidRPr="000238A0" w:rsidRDefault="000238A0" w:rsidP="000238A0">
      <w:pPr>
        <w:spacing w:line="680" w:lineRule="exact"/>
        <w:jc w:val="center"/>
        <w:rPr>
          <w:rFonts w:ascii="方正小标宋_GBK" w:eastAsia="方正小标宋_GBK" w:hAnsi="宋体" w:cs="Calibri"/>
          <w:kern w:val="2"/>
          <w:sz w:val="44"/>
          <w:szCs w:val="44"/>
        </w:rPr>
      </w:pPr>
      <w:r w:rsidRPr="000238A0">
        <w:rPr>
          <w:rFonts w:ascii="方正小标宋_GBK" w:eastAsia="方正小标宋_GBK" w:hAnsi="宋体" w:cs="Calibri" w:hint="eastAsia"/>
          <w:kern w:val="2"/>
          <w:sz w:val="44"/>
          <w:szCs w:val="44"/>
        </w:rPr>
        <w:t>依法规范管理人履职行为的规定（试行）</w:t>
      </w:r>
    </w:p>
    <w:p w:rsidR="000238A0" w:rsidRPr="000238A0" w:rsidRDefault="000238A0" w:rsidP="000238A0">
      <w:pPr>
        <w:ind w:firstLineChars="200" w:firstLine="632"/>
        <w:rPr>
          <w:rFonts w:ascii="仿宋_GB2312" w:hAnsi="仿宋_GB2312" w:cs="仿宋_GB2312"/>
          <w:kern w:val="2"/>
          <w:szCs w:val="32"/>
        </w:rPr>
      </w:pPr>
    </w:p>
    <w:p w:rsidR="000238A0" w:rsidRPr="000238A0" w:rsidRDefault="000238A0" w:rsidP="000238A0">
      <w:pPr>
        <w:spacing w:line="560" w:lineRule="exact"/>
        <w:ind w:firstLineChars="200" w:firstLine="634"/>
        <w:rPr>
          <w:rFonts w:ascii="仿宋_GB2312" w:hAnsi="仿宋_GB2312" w:cs="仿宋_GB2312"/>
          <w:szCs w:val="32"/>
        </w:rPr>
      </w:pPr>
      <w:r w:rsidRPr="000238A0">
        <w:rPr>
          <w:rFonts w:ascii="仿宋_GB2312" w:hAnsi="仿宋_GB2312" w:cs="仿宋_GB2312" w:hint="eastAsia"/>
          <w:b/>
          <w:bCs/>
          <w:kern w:val="2"/>
          <w:szCs w:val="32"/>
        </w:rPr>
        <w:t>第一条</w:t>
      </w:r>
      <w:r w:rsidRPr="000238A0">
        <w:rPr>
          <w:rFonts w:ascii="仿宋_GB2312" w:hAnsi="仿宋_GB2312" w:cs="仿宋_GB2312" w:hint="eastAsia"/>
          <w:kern w:val="2"/>
          <w:szCs w:val="32"/>
        </w:rPr>
        <w:t xml:space="preserve"> 管理人应当勤勉尽责，依法忠实执行职务，</w:t>
      </w:r>
      <w:r w:rsidRPr="000238A0">
        <w:rPr>
          <w:rFonts w:ascii="仿宋_GB2312" w:hAnsi="仿宋_GB2312" w:cs="仿宋_GB2312" w:hint="eastAsia"/>
          <w:szCs w:val="32"/>
        </w:rPr>
        <w:t>无正当理由不得拒绝人民法院指定。</w:t>
      </w:r>
    </w:p>
    <w:p w:rsidR="000238A0" w:rsidRPr="000238A0" w:rsidRDefault="000238A0" w:rsidP="000238A0">
      <w:pPr>
        <w:spacing w:line="560" w:lineRule="exact"/>
        <w:ind w:firstLineChars="200" w:firstLine="634"/>
        <w:rPr>
          <w:rFonts w:ascii="仿宋_GB2312" w:hAnsi="仿宋_GB2312" w:cs="仿宋_GB2312"/>
          <w:szCs w:val="32"/>
        </w:rPr>
      </w:pPr>
      <w:r w:rsidRPr="000238A0">
        <w:rPr>
          <w:rFonts w:ascii="仿宋_GB2312" w:hAnsi="仿宋_GB2312" w:cs="仿宋_GB2312" w:hint="eastAsia"/>
          <w:b/>
          <w:bCs/>
          <w:kern w:val="2"/>
          <w:szCs w:val="32"/>
        </w:rPr>
        <w:t>第二条</w:t>
      </w:r>
      <w:r w:rsidRPr="000238A0">
        <w:rPr>
          <w:rFonts w:ascii="仿宋_GB2312" w:hAnsi="仿宋_GB2312" w:cs="仿宋_GB2312" w:hint="eastAsia"/>
          <w:kern w:val="2"/>
          <w:szCs w:val="32"/>
        </w:rPr>
        <w:t xml:space="preserve"> 管理人</w:t>
      </w:r>
      <w:r w:rsidRPr="000238A0">
        <w:rPr>
          <w:rFonts w:ascii="仿宋_GB2312" w:hAnsi="仿宋_GB2312" w:cs="仿宋_GB2312" w:hint="eastAsia"/>
          <w:szCs w:val="32"/>
        </w:rPr>
        <w:t>应当自收到本院指定管理人决定书之日起五个工作日内，组建由本机构人员参加的工作团队，并将团队负责人、联系人、其他组成人员名单附执业资格证明材料及承诺书报人民法院备案。</w:t>
      </w:r>
    </w:p>
    <w:p w:rsidR="000238A0" w:rsidRPr="000238A0" w:rsidRDefault="000238A0" w:rsidP="000238A0">
      <w:pPr>
        <w:spacing w:line="560" w:lineRule="exact"/>
        <w:ind w:firstLineChars="200" w:firstLine="632"/>
        <w:rPr>
          <w:rFonts w:ascii="仿宋_GB2312" w:hAnsi="仿宋_GB2312" w:cs="仿宋_GB2312"/>
          <w:szCs w:val="32"/>
        </w:rPr>
      </w:pPr>
      <w:r w:rsidRPr="000238A0">
        <w:rPr>
          <w:rFonts w:ascii="仿宋_GB2312" w:hAnsi="仿宋_GB2312" w:cs="仿宋_GB2312" w:hint="eastAsia"/>
          <w:szCs w:val="32"/>
        </w:rPr>
        <w:t>本院因案件审理需要对管理人团队人员数量、专业等提出意见，管理人不能作出相应安排的，应当书面回复并说明理由。</w:t>
      </w:r>
    </w:p>
    <w:p w:rsidR="000238A0" w:rsidRPr="000238A0" w:rsidRDefault="000238A0" w:rsidP="000238A0">
      <w:pPr>
        <w:spacing w:line="560" w:lineRule="exact"/>
        <w:rPr>
          <w:rFonts w:ascii="仿宋_GB2312" w:hAnsi="仿宋_GB2312" w:cs="仿宋_GB2312"/>
          <w:kern w:val="2"/>
          <w:szCs w:val="32"/>
        </w:rPr>
      </w:pPr>
      <w:r w:rsidRPr="000238A0">
        <w:rPr>
          <w:rFonts w:ascii="仿宋_GB2312" w:hAnsi="仿宋_GB2312" w:cs="仿宋_GB2312" w:hint="eastAsia"/>
          <w:b/>
          <w:bCs/>
          <w:kern w:val="2"/>
          <w:szCs w:val="32"/>
        </w:rPr>
        <w:t xml:space="preserve">    第三条 </w:t>
      </w:r>
      <w:r w:rsidRPr="000238A0">
        <w:rPr>
          <w:rFonts w:ascii="仿宋_GB2312" w:hAnsi="仿宋_GB2312" w:cs="仿宋_GB2312" w:hint="eastAsia"/>
          <w:kern w:val="2"/>
          <w:szCs w:val="32"/>
        </w:rPr>
        <w:t>管理人应当自行完成破产程序主要的职责，不得将自己应当履行的职责全部或部分转给他人，不得把应当从管理人报酬中列支的费用列为其他破产费用。</w:t>
      </w:r>
    </w:p>
    <w:p w:rsidR="000238A0" w:rsidRPr="000238A0" w:rsidRDefault="000238A0" w:rsidP="000238A0">
      <w:pPr>
        <w:spacing w:line="560" w:lineRule="exact"/>
        <w:rPr>
          <w:rFonts w:ascii="仿宋_GB2312" w:hAnsi="仿宋_GB2312" w:cs="仿宋_GB2312"/>
          <w:kern w:val="2"/>
          <w:szCs w:val="32"/>
        </w:rPr>
      </w:pPr>
      <w:r w:rsidRPr="000238A0">
        <w:rPr>
          <w:rFonts w:ascii="仿宋_GB2312" w:hAnsi="仿宋_GB2312" w:cs="仿宋_GB2312" w:hint="eastAsia"/>
          <w:kern w:val="2"/>
          <w:szCs w:val="32"/>
        </w:rPr>
        <w:t xml:space="preserve">    </w:t>
      </w:r>
      <w:r w:rsidRPr="000238A0">
        <w:rPr>
          <w:rFonts w:ascii="仿宋_GB2312" w:hAnsi="仿宋_GB2312" w:cs="仿宋_GB2312" w:hint="eastAsia"/>
          <w:b/>
          <w:bCs/>
          <w:kern w:val="2"/>
          <w:szCs w:val="32"/>
        </w:rPr>
        <w:t>第四条</w:t>
      </w:r>
      <w:r w:rsidRPr="000238A0">
        <w:rPr>
          <w:rFonts w:ascii="仿宋_GB2312" w:hAnsi="仿宋_GB2312" w:cs="仿宋_GB2312" w:hint="eastAsia"/>
          <w:kern w:val="2"/>
          <w:szCs w:val="32"/>
        </w:rPr>
        <w:t xml:space="preserve"> 律师事务所及会计师事务所担任管理人的，经本院许可可以将本专业以外的需要专门知识、技能的工作聘任其他社会中介机构完成，费用在管理人报酬之外另行支付。</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第五条</w:t>
      </w:r>
      <w:r w:rsidRPr="000238A0">
        <w:rPr>
          <w:rFonts w:ascii="仿宋_GB2312" w:hAnsi="仿宋_GB2312" w:cs="仿宋_GB2312" w:hint="eastAsia"/>
          <w:kern w:val="2"/>
          <w:szCs w:val="32"/>
        </w:rPr>
        <w:t xml:space="preserve"> 为便利破产财产监管，管理人应当在债务人</w:t>
      </w:r>
      <w:r w:rsidRPr="000238A0">
        <w:rPr>
          <w:rFonts w:ascii="仿宋_GB2312" w:hAnsi="仿宋_GB2312" w:cs="仿宋_GB2312" w:hint="eastAsia"/>
          <w:color w:val="000000"/>
          <w:kern w:val="2"/>
          <w:szCs w:val="32"/>
        </w:rPr>
        <w:t>住所地</w:t>
      </w:r>
      <w:r w:rsidRPr="000238A0">
        <w:rPr>
          <w:rFonts w:ascii="仿宋_GB2312" w:hAnsi="仿宋_GB2312" w:cs="仿宋_GB2312" w:hint="eastAsia"/>
          <w:kern w:val="2"/>
          <w:szCs w:val="32"/>
        </w:rPr>
        <w:t>所在区开立管理人账户并报本院备案。鼓励以招投标方式确定开户银行。</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第六条</w:t>
      </w:r>
      <w:r w:rsidRPr="000238A0">
        <w:rPr>
          <w:rFonts w:ascii="仿宋_GB2312" w:hAnsi="仿宋_GB2312" w:cs="仿宋_GB2312" w:hint="eastAsia"/>
          <w:kern w:val="2"/>
          <w:szCs w:val="32"/>
        </w:rPr>
        <w:t xml:space="preserve"> 管理人开户后原则上每月末向法院提交账户资金交易明细，承办法官可以根据案情需要要求管理人定期提供账户资</w:t>
      </w:r>
      <w:r w:rsidRPr="000238A0">
        <w:rPr>
          <w:rFonts w:ascii="仿宋_GB2312" w:hAnsi="仿宋_GB2312" w:cs="仿宋_GB2312" w:hint="eastAsia"/>
          <w:kern w:val="2"/>
          <w:szCs w:val="32"/>
        </w:rPr>
        <w:lastRenderedPageBreak/>
        <w:t>金交易明细。</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管理人账户单笔交易发生超过20万元支出的，需在支出发生后3日内报本院审查，承办法官可以根据案情需要调整需审查的大额交易的额度。</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债权人对管理人账户支出提出异议的，管理人应向本院书面说明。</w:t>
      </w:r>
    </w:p>
    <w:p w:rsidR="000238A0" w:rsidRPr="000238A0" w:rsidRDefault="000238A0" w:rsidP="000238A0">
      <w:pPr>
        <w:widowControl/>
        <w:spacing w:after="180" w:line="560" w:lineRule="exact"/>
        <w:ind w:firstLineChars="231" w:firstLine="730"/>
        <w:jc w:val="left"/>
        <w:rPr>
          <w:rFonts w:ascii="仿宋_GB2312" w:hAnsi="仿宋_GB2312" w:cs="仿宋_GB2312"/>
          <w:kern w:val="2"/>
          <w:szCs w:val="32"/>
        </w:rPr>
      </w:pPr>
      <w:r w:rsidRPr="000238A0">
        <w:rPr>
          <w:rFonts w:ascii="仿宋_GB2312" w:hAnsi="仿宋_GB2312" w:cs="仿宋_GB2312" w:hint="eastAsia"/>
          <w:kern w:val="2"/>
          <w:szCs w:val="32"/>
        </w:rPr>
        <w:t>经本院同意，管理人可在债务人财产或破产财产中据实报销执行职务的费用，相关费用应当列入重整计划草案、和解协议草案或财产分配方案，提交债权人会议审议。管理人拟在债务人财产或破产财产中报销相关费用的，应当在费用发生后或定期向本院提交报告并附相关凭证，本院在3个工作日内予以批复。</w:t>
      </w:r>
    </w:p>
    <w:p w:rsidR="000238A0" w:rsidRPr="000238A0" w:rsidRDefault="000238A0" w:rsidP="000238A0">
      <w:pPr>
        <w:spacing w:line="560" w:lineRule="exact"/>
        <w:rPr>
          <w:rFonts w:ascii="仿宋_GB2312" w:hAnsi="仿宋_GB2312" w:cs="仿宋_GB2312"/>
          <w:szCs w:val="32"/>
        </w:rPr>
      </w:pPr>
      <w:r w:rsidRPr="000238A0">
        <w:rPr>
          <w:rFonts w:ascii="仿宋_GB2312" w:hAnsi="仿宋_GB2312" w:cs="仿宋_GB2312" w:hint="eastAsia"/>
          <w:kern w:val="2"/>
          <w:szCs w:val="32"/>
        </w:rPr>
        <w:t xml:space="preserve">    </w:t>
      </w:r>
      <w:r w:rsidRPr="000238A0">
        <w:rPr>
          <w:rFonts w:ascii="仿宋_GB2312" w:hAnsi="仿宋_GB2312" w:cs="仿宋_GB2312" w:hint="eastAsia"/>
          <w:b/>
          <w:bCs/>
          <w:kern w:val="2"/>
          <w:szCs w:val="32"/>
        </w:rPr>
        <w:t>第七条</w:t>
      </w:r>
      <w:r w:rsidRPr="000238A0">
        <w:rPr>
          <w:rFonts w:ascii="仿宋_GB2312" w:hAnsi="仿宋_GB2312" w:cs="仿宋_GB2312" w:hint="eastAsia"/>
          <w:kern w:val="2"/>
          <w:szCs w:val="32"/>
        </w:rPr>
        <w:t xml:space="preserve"> </w:t>
      </w:r>
      <w:r w:rsidRPr="000238A0">
        <w:rPr>
          <w:rFonts w:ascii="仿宋_GB2312" w:hAnsi="仿宋_GB2312" w:cs="仿宋_GB2312" w:hint="eastAsia"/>
          <w:szCs w:val="32"/>
        </w:rPr>
        <w:t>管理人应当将债务人的存款、财产变价款、清收的债权等资金划入管理人账户集中管理，但采用债务人自行管理财产和营业事务的重整案件除外。</w:t>
      </w:r>
    </w:p>
    <w:p w:rsidR="000238A0" w:rsidRPr="000238A0" w:rsidRDefault="000238A0" w:rsidP="000238A0">
      <w:pPr>
        <w:spacing w:line="560" w:lineRule="exact"/>
        <w:rPr>
          <w:rFonts w:ascii="仿宋_GB2312" w:hAnsi="仿宋_GB2312" w:cs="仿宋_GB2312"/>
          <w:kern w:val="2"/>
          <w:szCs w:val="32"/>
        </w:rPr>
      </w:pPr>
      <w:r w:rsidRPr="000238A0">
        <w:rPr>
          <w:rFonts w:ascii="仿宋_GB2312" w:hAnsi="仿宋_GB2312" w:cs="仿宋_GB2312" w:hint="eastAsia"/>
          <w:kern w:val="2"/>
          <w:szCs w:val="32"/>
        </w:rPr>
        <w:t xml:space="preserve">    </w:t>
      </w:r>
      <w:r w:rsidRPr="000238A0">
        <w:rPr>
          <w:rFonts w:ascii="仿宋_GB2312" w:hAnsi="仿宋_GB2312" w:cs="仿宋_GB2312" w:hint="eastAsia"/>
          <w:b/>
          <w:bCs/>
          <w:kern w:val="2"/>
          <w:szCs w:val="32"/>
        </w:rPr>
        <w:t>第八条</w:t>
      </w:r>
      <w:r w:rsidRPr="000238A0">
        <w:rPr>
          <w:rFonts w:ascii="仿宋_GB2312" w:hAnsi="仿宋_GB2312" w:cs="仿宋_GB2312" w:hint="eastAsia"/>
          <w:kern w:val="2"/>
          <w:szCs w:val="32"/>
        </w:rPr>
        <w:t xml:space="preserve"> </w:t>
      </w:r>
      <w:r w:rsidRPr="000238A0">
        <w:rPr>
          <w:rFonts w:ascii="仿宋_GB2312" w:hAnsi="仿宋_GB2312" w:cs="仿宋_GB2312" w:hint="eastAsia"/>
          <w:szCs w:val="32"/>
        </w:rPr>
        <w:t>对债权申报期满后补充申报的债权，管理人应及时进行审核，对存在争议债权中可确认的债权额</w:t>
      </w:r>
      <w:r w:rsidRPr="000238A0">
        <w:rPr>
          <w:rFonts w:ascii="仿宋_GB2312" w:hAnsi="仿宋_GB2312" w:cs="仿宋_GB2312" w:hint="eastAsia"/>
          <w:kern w:val="2"/>
          <w:szCs w:val="32"/>
        </w:rPr>
        <w:t>或与债权人协商一致的债权额，应及时申请法院予以确认临时债权额，以保证债权人行使表决权等权利。</w:t>
      </w:r>
    </w:p>
    <w:p w:rsidR="000238A0" w:rsidRPr="000238A0" w:rsidRDefault="000238A0" w:rsidP="000238A0">
      <w:pPr>
        <w:spacing w:line="560" w:lineRule="exact"/>
        <w:rPr>
          <w:rFonts w:ascii="仿宋_GB2312" w:hAnsi="仿宋_GB2312" w:cs="仿宋_GB2312"/>
          <w:kern w:val="2"/>
          <w:szCs w:val="32"/>
        </w:rPr>
      </w:pPr>
      <w:r w:rsidRPr="000238A0">
        <w:rPr>
          <w:rFonts w:ascii="仿宋_GB2312" w:hAnsi="仿宋_GB2312" w:cs="仿宋_GB2312" w:hint="eastAsia"/>
          <w:szCs w:val="32"/>
        </w:rPr>
        <w:t xml:space="preserve">    </w:t>
      </w:r>
      <w:r w:rsidRPr="000238A0">
        <w:rPr>
          <w:rFonts w:ascii="仿宋_GB2312" w:hAnsi="仿宋_GB2312" w:cs="仿宋_GB2312" w:hint="eastAsia"/>
          <w:b/>
          <w:bCs/>
          <w:kern w:val="2"/>
          <w:szCs w:val="32"/>
        </w:rPr>
        <w:t>第九条</w:t>
      </w:r>
      <w:r w:rsidRPr="000238A0">
        <w:rPr>
          <w:rFonts w:ascii="仿宋_GB2312" w:hAnsi="仿宋_GB2312" w:cs="仿宋_GB2312" w:hint="eastAsia"/>
          <w:szCs w:val="32"/>
        </w:rPr>
        <w:t xml:space="preserve"> </w:t>
      </w:r>
      <w:r w:rsidRPr="000238A0">
        <w:rPr>
          <w:rFonts w:ascii="仿宋_GB2312" w:hAnsi="仿宋_GB2312" w:cs="仿宋_GB2312" w:hint="eastAsia"/>
          <w:kern w:val="2"/>
          <w:szCs w:val="32"/>
        </w:rPr>
        <w:t>权利人向管理人主张行使抵销权而管理人拟同意抵销的，或因抵销使债务人财产受益而由管理人提起的抵销，应当书面报告债权人委员会或债权人会议及本院审核，经本院批准后，方可抵销或提起抵销。</w:t>
      </w:r>
      <w:r w:rsidRPr="000238A0">
        <w:rPr>
          <w:rFonts w:ascii="仿宋_GB2312" w:hAnsi="仿宋_GB2312" w:cs="仿宋_GB2312" w:hint="eastAsia"/>
          <w:kern w:val="2"/>
          <w:szCs w:val="32"/>
        </w:rPr>
        <w:cr/>
      </w:r>
      <w:r w:rsidRPr="000238A0">
        <w:rPr>
          <w:rFonts w:ascii="仿宋_GB2312" w:hAnsi="仿宋_GB2312" w:cs="仿宋_GB2312" w:hint="eastAsia"/>
          <w:kern w:val="2"/>
          <w:szCs w:val="32"/>
        </w:rPr>
        <w:lastRenderedPageBreak/>
        <w:t xml:space="preserve">    </w:t>
      </w:r>
      <w:r w:rsidRPr="000238A0">
        <w:rPr>
          <w:rFonts w:ascii="仿宋_GB2312" w:hAnsi="仿宋_GB2312" w:cs="仿宋_GB2312" w:hint="eastAsia"/>
          <w:b/>
          <w:bCs/>
          <w:kern w:val="2"/>
          <w:szCs w:val="32"/>
        </w:rPr>
        <w:t>第十条</w:t>
      </w:r>
      <w:r w:rsidRPr="000238A0">
        <w:rPr>
          <w:rFonts w:ascii="仿宋_GB2312" w:hAnsi="仿宋_GB2312" w:cs="仿宋_GB2312" w:hint="eastAsia"/>
          <w:kern w:val="2"/>
          <w:szCs w:val="32"/>
        </w:rPr>
        <w:t xml:space="preserve"> 管理人在执行职务期间应当完整记录工作情况，并按本院要求定期提交书面履职报告。</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第十一条</w:t>
      </w:r>
      <w:r w:rsidRPr="000238A0">
        <w:rPr>
          <w:rFonts w:ascii="仿宋_GB2312" w:hAnsi="仿宋_GB2312" w:cs="仿宋_GB2312" w:hint="eastAsia"/>
          <w:kern w:val="2"/>
          <w:szCs w:val="32"/>
        </w:rPr>
        <w:t xml:space="preserve"> 发生重大、突发事件时，管理人应当立即向本院和债权人会议主席报告工作预案；设立债权人委员会的，还应当立即报告债权人委员会。</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第十二条</w:t>
      </w:r>
      <w:r w:rsidRPr="000238A0">
        <w:rPr>
          <w:rFonts w:ascii="仿宋_GB2312" w:hAnsi="仿宋_GB2312" w:cs="仿宋_GB2312" w:hint="eastAsia"/>
          <w:kern w:val="2"/>
          <w:szCs w:val="32"/>
        </w:rPr>
        <w:t xml:space="preserve"> 管理人没有正当理由不得辞去职务，管理人辞去职务应当经人民法院许可；正当理由的认定，可以参照适用本规定第十三条规定的情形</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第十三条</w:t>
      </w:r>
      <w:r w:rsidRPr="000238A0">
        <w:rPr>
          <w:rFonts w:ascii="仿宋_GB2312" w:hAnsi="仿宋_GB2312" w:cs="仿宋_GB2312" w:hint="eastAsia"/>
          <w:kern w:val="2"/>
          <w:szCs w:val="32"/>
        </w:rPr>
        <w:t xml:space="preserve"> 管理人有下列情形之一的，人民法院可以根据债权人会议的申请或者依职权迳行决定更换管理人：</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（一）因故意犯罪受过刑事处罚；</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（二）执业许可证或者营业执照被吊销或者注销；</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（三）出现解散、破产事由或者丧失承担执业责任风险的能力；</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（四）与本案有利害关系；</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（五）履行职务时，因故意或者重大过失导致债权人利益受到损害；</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（六）有重大债务纠纷或者因涉嫌违法行为正被相关部门调查；</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（七）其他不能依法、公正执行职务或者不能胜任职务的情形。</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第十四条</w:t>
      </w:r>
      <w:r w:rsidRPr="000238A0">
        <w:rPr>
          <w:rFonts w:ascii="仿宋_GB2312" w:hAnsi="仿宋_GB2312" w:cs="仿宋_GB2312" w:hint="eastAsia"/>
          <w:kern w:val="2"/>
          <w:szCs w:val="32"/>
        </w:rPr>
        <w:t xml:space="preserve"> 人民法院决定更换管理人的，原管理人应当自收</w:t>
      </w:r>
      <w:r w:rsidRPr="000238A0">
        <w:rPr>
          <w:rFonts w:ascii="仿宋_GB2312" w:hAnsi="仿宋_GB2312" w:cs="仿宋_GB2312" w:hint="eastAsia"/>
          <w:kern w:val="2"/>
          <w:szCs w:val="32"/>
        </w:rPr>
        <w:lastRenderedPageBreak/>
        <w:t>到决定书之次日起，在人民法院监督下向新任管理人移交全部资料、财产、营业事务及管理人印章，并及时向新任管理人书面说明工作进展情况。原管理人不能履行上述职责的，新任管理人可以直接接管相关事务。</w:t>
      </w:r>
    </w:p>
    <w:p w:rsidR="000238A0" w:rsidRPr="000238A0" w:rsidRDefault="000238A0" w:rsidP="000238A0">
      <w:pPr>
        <w:spacing w:line="560" w:lineRule="exact"/>
        <w:ind w:firstLineChars="200" w:firstLine="632"/>
        <w:rPr>
          <w:rFonts w:ascii="仿宋_GB2312" w:hAnsi="仿宋_GB2312" w:cs="仿宋_GB2312"/>
          <w:kern w:val="2"/>
          <w:szCs w:val="32"/>
        </w:rPr>
      </w:pPr>
      <w:r w:rsidRPr="000238A0">
        <w:rPr>
          <w:rFonts w:ascii="仿宋_GB2312" w:hAnsi="仿宋_GB2312" w:cs="仿宋_GB2312" w:hint="eastAsia"/>
          <w:kern w:val="2"/>
          <w:szCs w:val="32"/>
        </w:rPr>
        <w:t>在破产程序终结前，原管理人应当随时接受新任管理人、债权人会议、人民法院关于其履行管理人职责情况的询问。</w:t>
      </w:r>
    </w:p>
    <w:p w:rsidR="000238A0" w:rsidRPr="000238A0" w:rsidRDefault="000238A0" w:rsidP="000238A0">
      <w:pPr>
        <w:spacing w:line="560" w:lineRule="exact"/>
        <w:ind w:firstLineChars="200" w:firstLine="634"/>
        <w:rPr>
          <w:rFonts w:ascii="仿宋_GB2312" w:hAnsi="仿宋_GB2312" w:cs="仿宋_GB2312"/>
          <w:kern w:val="2"/>
          <w:szCs w:val="32"/>
        </w:rPr>
      </w:pPr>
      <w:r w:rsidRPr="000238A0">
        <w:rPr>
          <w:rFonts w:ascii="仿宋_GB2312" w:hAnsi="仿宋_GB2312" w:cs="仿宋_GB2312" w:hint="eastAsia"/>
          <w:b/>
          <w:bCs/>
          <w:kern w:val="2"/>
          <w:szCs w:val="32"/>
        </w:rPr>
        <w:t>第十五条</w:t>
      </w:r>
      <w:r w:rsidRPr="000238A0">
        <w:rPr>
          <w:rFonts w:ascii="仿宋_GB2312" w:hAnsi="仿宋_GB2312" w:cs="仿宋_GB2312" w:hint="eastAsia"/>
          <w:kern w:val="2"/>
          <w:szCs w:val="32"/>
        </w:rPr>
        <w:t xml:space="preserve"> 管理人原则上应当在债务人处办公。如无法在债务人处办公，应当在自己的经营场所办公，所产生的费用参照《青岛市黄岛区人民法院关于使用破产援助资金支付管理人报酬及破产费用的规定》相关规定报销。</w:t>
      </w:r>
    </w:p>
    <w:p w:rsidR="000238A0" w:rsidRPr="000238A0" w:rsidRDefault="000238A0" w:rsidP="000238A0">
      <w:pPr>
        <w:spacing w:line="560" w:lineRule="exact"/>
        <w:ind w:firstLineChars="200" w:firstLine="632"/>
        <w:rPr>
          <w:rFonts w:ascii="仿宋_GB2312" w:hAnsi="仿宋_GB2312" w:cs="仿宋_GB2312"/>
          <w:szCs w:val="32"/>
        </w:rPr>
      </w:pPr>
      <w:r w:rsidRPr="000238A0">
        <w:rPr>
          <w:rFonts w:ascii="仿宋_GB2312" w:hAnsi="仿宋_GB2312" w:cs="仿宋_GB2312" w:hint="eastAsia"/>
          <w:kern w:val="2"/>
          <w:szCs w:val="32"/>
        </w:rPr>
        <w:t>未经</w:t>
      </w:r>
      <w:r w:rsidRPr="000238A0">
        <w:rPr>
          <w:rFonts w:ascii="仿宋_GB2312" w:hAnsi="仿宋_GB2312" w:cs="仿宋_GB2312" w:hint="eastAsia"/>
          <w:szCs w:val="32"/>
        </w:rPr>
        <w:t>本院批准租用办公场所所产生的费用由管理人自行承担。</w:t>
      </w:r>
    </w:p>
    <w:p w:rsidR="000238A0" w:rsidRPr="000238A0" w:rsidRDefault="000238A0" w:rsidP="000238A0">
      <w:pPr>
        <w:spacing w:line="560" w:lineRule="exact"/>
        <w:rPr>
          <w:rFonts w:ascii="仿宋_GB2312" w:hAnsi="仿宋_GB2312" w:cs="仿宋_GB2312"/>
          <w:kern w:val="2"/>
          <w:szCs w:val="32"/>
        </w:rPr>
      </w:pPr>
      <w:r w:rsidRPr="000238A0">
        <w:rPr>
          <w:rFonts w:ascii="仿宋_GB2312" w:hAnsi="仿宋_GB2312" w:cs="仿宋_GB2312" w:hint="eastAsia"/>
          <w:kern w:val="2"/>
          <w:szCs w:val="32"/>
        </w:rPr>
        <w:t xml:space="preserve">    </w:t>
      </w:r>
      <w:r w:rsidRPr="000238A0">
        <w:rPr>
          <w:rFonts w:ascii="仿宋_GB2312" w:hAnsi="仿宋_GB2312" w:cs="仿宋_GB2312" w:hint="eastAsia"/>
          <w:b/>
          <w:bCs/>
          <w:kern w:val="2"/>
          <w:szCs w:val="32"/>
        </w:rPr>
        <w:t>第十六条</w:t>
      </w:r>
      <w:r w:rsidRPr="000238A0">
        <w:rPr>
          <w:rFonts w:ascii="仿宋_GB2312" w:hAnsi="仿宋_GB2312" w:cs="仿宋_GB2312" w:hint="eastAsia"/>
          <w:kern w:val="2"/>
          <w:szCs w:val="32"/>
        </w:rPr>
        <w:t xml:space="preserve"> 管理人违反本规定中关于账户、费用管理要求的，本院将依法调低管理人报酬，同时在调低后的管理人报酬中抵扣超支的费用。</w:t>
      </w:r>
    </w:p>
    <w:p w:rsidR="000238A0" w:rsidRPr="000238A0" w:rsidRDefault="000238A0" w:rsidP="000238A0">
      <w:pPr>
        <w:spacing w:line="560" w:lineRule="exact"/>
        <w:rPr>
          <w:rFonts w:ascii="仿宋_GB2312" w:hAnsi="仿宋_GB2312" w:cs="仿宋_GB2312"/>
          <w:szCs w:val="32"/>
        </w:rPr>
      </w:pPr>
      <w:r w:rsidRPr="000238A0">
        <w:rPr>
          <w:rFonts w:ascii="仿宋_GB2312" w:hAnsi="仿宋_GB2312" w:cs="仿宋_GB2312" w:hint="eastAsia"/>
          <w:kern w:val="2"/>
          <w:szCs w:val="32"/>
        </w:rPr>
        <w:t xml:space="preserve">    </w:t>
      </w:r>
      <w:r w:rsidRPr="000238A0">
        <w:rPr>
          <w:rFonts w:ascii="仿宋_GB2312" w:hAnsi="仿宋_GB2312" w:cs="仿宋_GB2312" w:hint="eastAsia"/>
          <w:b/>
          <w:bCs/>
          <w:kern w:val="2"/>
          <w:szCs w:val="32"/>
        </w:rPr>
        <w:t>第十七条</w:t>
      </w:r>
      <w:r w:rsidRPr="000238A0">
        <w:rPr>
          <w:rFonts w:ascii="仿宋_GB2312" w:hAnsi="仿宋_GB2312" w:cs="仿宋_GB2312" w:hint="eastAsia"/>
          <w:kern w:val="2"/>
          <w:szCs w:val="32"/>
        </w:rPr>
        <w:t xml:space="preserve"> 管理人违</w:t>
      </w:r>
      <w:r w:rsidRPr="000238A0">
        <w:rPr>
          <w:rFonts w:ascii="仿宋_GB2312" w:hAnsi="仿宋_GB2312" w:cs="仿宋_GB2312" w:hint="eastAsia"/>
          <w:szCs w:val="32"/>
        </w:rPr>
        <w:t>反本规定的，本院责令纠正并视情节予以训诫等惩戒措施；情节严重的，可暂停其担任本院新的破产案件管理人或按照本规定第十三条处理并报请青岛市中级人民法院计入年度考核档案。</w:t>
      </w:r>
    </w:p>
    <w:p w:rsidR="000238A0" w:rsidRPr="000238A0" w:rsidRDefault="000238A0" w:rsidP="000238A0">
      <w:pPr>
        <w:spacing w:line="560" w:lineRule="exact"/>
        <w:ind w:firstLineChars="200" w:firstLine="634"/>
        <w:rPr>
          <w:rFonts w:ascii="仿宋_GB2312" w:hAnsi="仿宋_GB2312" w:cs="仿宋_GB2312"/>
          <w:szCs w:val="32"/>
        </w:rPr>
      </w:pPr>
      <w:r w:rsidRPr="000238A0">
        <w:rPr>
          <w:rFonts w:ascii="仿宋_GB2312" w:hAnsi="仿宋_GB2312" w:cs="仿宋_GB2312" w:hint="eastAsia"/>
          <w:b/>
          <w:bCs/>
          <w:kern w:val="2"/>
          <w:szCs w:val="32"/>
        </w:rPr>
        <w:t>第十八条</w:t>
      </w:r>
      <w:r w:rsidRPr="000238A0">
        <w:rPr>
          <w:rFonts w:ascii="仿宋_GB2312" w:hAnsi="仿宋_GB2312" w:cs="仿宋_GB2312" w:hint="eastAsia"/>
          <w:szCs w:val="32"/>
        </w:rPr>
        <w:t xml:space="preserve"> 本规定由青岛市黄岛区人民法院审判委员会负责解释。</w:t>
      </w:r>
    </w:p>
    <w:p w:rsidR="000238A0" w:rsidRDefault="000238A0" w:rsidP="000238A0">
      <w:pPr>
        <w:spacing w:line="560" w:lineRule="exact"/>
        <w:rPr>
          <w:rFonts w:ascii="仿宋_GB2312" w:hAnsi="仿宋_GB2312" w:cs="仿宋_GB2312"/>
          <w:szCs w:val="32"/>
        </w:rPr>
      </w:pPr>
      <w:r w:rsidRPr="000238A0">
        <w:rPr>
          <w:rFonts w:ascii="仿宋_GB2312" w:hAnsi="仿宋_GB2312" w:cs="仿宋_GB2312" w:hint="eastAsia"/>
          <w:szCs w:val="32"/>
        </w:rPr>
        <w:t xml:space="preserve">   </w:t>
      </w:r>
      <w:r w:rsidRPr="000238A0">
        <w:rPr>
          <w:rFonts w:ascii="仿宋_GB2312" w:hAnsi="仿宋_GB2312" w:cs="仿宋_GB2312" w:hint="eastAsia"/>
          <w:kern w:val="2"/>
          <w:szCs w:val="32"/>
        </w:rPr>
        <w:cr/>
      </w:r>
      <w:r>
        <w:rPr>
          <w:rFonts w:ascii="仿宋_GB2312" w:hAnsi="仿宋_GB2312" w:cs="仿宋_GB2312" w:hint="eastAsia"/>
          <w:szCs w:val="32"/>
        </w:rPr>
        <w:lastRenderedPageBreak/>
        <w:t>(此页无正文)</w:t>
      </w:r>
    </w:p>
    <w:p w:rsidR="000238A0" w:rsidRDefault="000238A0" w:rsidP="000238A0">
      <w:pPr>
        <w:spacing w:line="560" w:lineRule="exact"/>
        <w:rPr>
          <w:rFonts w:ascii="仿宋_GB2312" w:hAnsi="仿宋_GB2312" w:cs="仿宋_GB2312"/>
          <w:szCs w:val="32"/>
        </w:rPr>
      </w:pPr>
    </w:p>
    <w:p w:rsidR="000238A0" w:rsidRDefault="000238A0" w:rsidP="000238A0">
      <w:pPr>
        <w:spacing w:line="560" w:lineRule="exact"/>
        <w:rPr>
          <w:rFonts w:ascii="仿宋_GB2312" w:hAnsi="仿宋_GB2312" w:cs="仿宋_GB2312"/>
          <w:szCs w:val="32"/>
        </w:rPr>
      </w:pPr>
    </w:p>
    <w:p w:rsidR="000238A0" w:rsidRDefault="000238A0" w:rsidP="000238A0">
      <w:pPr>
        <w:spacing w:line="560" w:lineRule="exact"/>
        <w:rPr>
          <w:rFonts w:ascii="仿宋_GB2312" w:hAnsi="仿宋_GB2312" w:cs="仿宋_GB2312"/>
          <w:szCs w:val="32"/>
        </w:rPr>
      </w:pPr>
    </w:p>
    <w:p w:rsidR="000238A0" w:rsidRPr="000238A0" w:rsidRDefault="000238A0" w:rsidP="000238A0">
      <w:pPr>
        <w:spacing w:line="560" w:lineRule="exact"/>
        <w:ind w:firstLineChars="1575" w:firstLine="4975"/>
        <w:rPr>
          <w:rFonts w:ascii="仿宋_GB2312" w:hAnsi="仿宋_GB2312" w:cs="仿宋_GB2312"/>
          <w:kern w:val="2"/>
          <w:szCs w:val="32"/>
        </w:rPr>
      </w:pPr>
      <w:r w:rsidRPr="000238A0">
        <w:rPr>
          <w:rFonts w:ascii="仿宋_GB2312" w:hAnsi="仿宋_GB2312" w:cs="仿宋_GB2312" w:hint="eastAsia"/>
          <w:szCs w:val="32"/>
        </w:rPr>
        <w:t>青岛市黄岛区人民法院</w:t>
      </w:r>
    </w:p>
    <w:p w:rsidR="000238A0" w:rsidRPr="000238A0" w:rsidRDefault="000238A0" w:rsidP="000238A0">
      <w:pPr>
        <w:autoSpaceDE w:val="0"/>
        <w:autoSpaceDN w:val="0"/>
        <w:adjustRightInd w:val="0"/>
        <w:spacing w:line="560" w:lineRule="exact"/>
        <w:ind w:firstLineChars="200" w:firstLine="632"/>
        <w:jc w:val="left"/>
        <w:rPr>
          <w:rFonts w:ascii="仿宋_GB2312" w:hAnsi="仿宋_GB2312" w:cs="仿宋_GB2312"/>
          <w:szCs w:val="32"/>
        </w:rPr>
      </w:pPr>
      <w:r w:rsidRPr="000238A0">
        <w:rPr>
          <w:rFonts w:ascii="仿宋_GB2312" w:hAnsi="仿宋_GB2312" w:cs="仿宋_GB2312" w:hint="eastAsia"/>
          <w:szCs w:val="32"/>
        </w:rPr>
        <w:t xml:space="preserve">                              2021年10月23日   </w:t>
      </w:r>
    </w:p>
    <w:p w:rsidR="000238A0" w:rsidRPr="000238A0" w:rsidRDefault="000238A0" w:rsidP="000238A0">
      <w:pPr>
        <w:spacing w:line="560" w:lineRule="exact"/>
        <w:rPr>
          <w:rFonts w:ascii="Calibri" w:eastAsia="宋体" w:hAnsi="Calibri"/>
          <w:kern w:val="2"/>
          <w:sz w:val="21"/>
          <w:szCs w:val="22"/>
        </w:rPr>
      </w:pPr>
    </w:p>
    <w:p w:rsidR="000238A0" w:rsidRPr="000238A0" w:rsidRDefault="000238A0" w:rsidP="000238A0">
      <w:pPr>
        <w:spacing w:line="560" w:lineRule="exact"/>
        <w:rPr>
          <w:rFonts w:ascii="Calibri" w:eastAsia="宋体" w:hAnsi="Calibri"/>
          <w:kern w:val="2"/>
          <w:sz w:val="21"/>
          <w:szCs w:val="22"/>
        </w:rPr>
      </w:pPr>
    </w:p>
    <w:p w:rsidR="000238A0" w:rsidRPr="000238A0" w:rsidRDefault="000238A0" w:rsidP="000238A0">
      <w:pPr>
        <w:spacing w:line="560" w:lineRule="exact"/>
        <w:rPr>
          <w:rFonts w:ascii="Calibri" w:eastAsia="宋体" w:hAnsi="Calibri"/>
          <w:kern w:val="2"/>
          <w:sz w:val="21"/>
          <w:szCs w:val="22"/>
        </w:rPr>
      </w:pPr>
    </w:p>
    <w:p w:rsidR="000238A0" w:rsidRP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Default="000238A0" w:rsidP="000238A0">
      <w:pPr>
        <w:spacing w:line="560" w:lineRule="exact"/>
        <w:rPr>
          <w:rFonts w:ascii="Calibri" w:eastAsia="宋体" w:hAnsi="Calibri"/>
          <w:kern w:val="2"/>
          <w:sz w:val="21"/>
          <w:szCs w:val="22"/>
        </w:rPr>
      </w:pPr>
    </w:p>
    <w:p w:rsidR="000238A0" w:rsidRPr="000238A0" w:rsidRDefault="000238A0" w:rsidP="000238A0">
      <w:pPr>
        <w:spacing w:line="560" w:lineRule="exact"/>
        <w:rPr>
          <w:rFonts w:ascii="Calibri" w:eastAsia="宋体" w:hAnsi="Calibri"/>
          <w:kern w:val="2"/>
          <w:sz w:val="21"/>
          <w:szCs w:val="22"/>
        </w:rPr>
      </w:pPr>
    </w:p>
    <w:p w:rsidR="000238A0" w:rsidRPr="000238A0" w:rsidRDefault="000238A0" w:rsidP="000238A0">
      <w:pPr>
        <w:spacing w:line="560" w:lineRule="exact"/>
        <w:rPr>
          <w:rFonts w:ascii="仿宋_GB2312" w:eastAsia="宋体" w:hAnsi="宋体"/>
          <w:kern w:val="2"/>
          <w:sz w:val="21"/>
          <w:szCs w:val="32"/>
        </w:rPr>
      </w:pPr>
    </w:p>
    <w:p w:rsidR="000238A0" w:rsidRPr="000238A0" w:rsidRDefault="003F1DC0" w:rsidP="000238A0">
      <w:pPr>
        <w:spacing w:line="600" w:lineRule="exact"/>
        <w:ind w:firstLineChars="50" w:firstLine="138"/>
        <w:jc w:val="left"/>
        <w:rPr>
          <w:rFonts w:ascii="仿宋_GB2312" w:hAnsi="仿宋_GB2312" w:cs="仿宋_GB2312"/>
          <w:kern w:val="2"/>
          <w:szCs w:val="32"/>
        </w:rPr>
      </w:pPr>
      <w:r>
        <w:rPr>
          <w:rFonts w:ascii="仿宋_GB2312" w:hAnsi="仿宋_GB2312" w:cs="仿宋_GB2312"/>
          <w:noProof/>
          <w:kern w:val="2"/>
          <w:sz w:val="28"/>
          <w:szCs w:val="28"/>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line">
                  <wp:posOffset>419735</wp:posOffset>
                </wp:positionV>
                <wp:extent cx="5309235" cy="635"/>
                <wp:effectExtent l="10160" t="10160" r="14605" b="82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235" cy="6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5pt,33.05pt" to="418.1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22Fg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" strokeweight="1.25pt">
                <w10:wrap anchory="line"/>
              </v:line>
            </w:pict>
          </mc:Fallback>
        </mc:AlternateContent>
      </w:r>
      <w:r>
        <w:rPr>
          <w:rFonts w:ascii="仿宋_GB2312" w:hAnsi="仿宋_GB2312" w:cs="仿宋_GB2312"/>
          <w:noProof/>
          <w:kern w:val="2"/>
          <w:sz w:val="28"/>
          <w:szCs w:val="28"/>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52705</wp:posOffset>
                </wp:positionV>
                <wp:extent cx="5308600" cy="24765"/>
                <wp:effectExtent l="10160" t="14605" r="1524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0" cy="247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15pt" to="418.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FgIAAC0EAAAOAAAAZHJzL2Uyb0RvYy54bWysU8GO2jAQvVfqP1i5QxIIkI0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" strokeweight="1.25pt"/>
            </w:pict>
          </mc:Fallback>
        </mc:AlternateContent>
      </w:r>
      <w:r w:rsidR="000238A0" w:rsidRPr="000238A0">
        <w:rPr>
          <w:rFonts w:ascii="仿宋_GB2312" w:hAnsi="仿宋_GB2312" w:cs="仿宋_GB2312" w:hint="eastAsia"/>
          <w:kern w:val="2"/>
          <w:sz w:val="28"/>
          <w:szCs w:val="28"/>
        </w:rPr>
        <w:t xml:space="preserve"> 青岛市黄岛区人民法院            </w:t>
      </w:r>
      <w:r w:rsidR="000238A0">
        <w:rPr>
          <w:rFonts w:ascii="仿宋_GB2312" w:hAnsi="仿宋_GB2312" w:cs="仿宋_GB2312" w:hint="eastAsia"/>
          <w:kern w:val="2"/>
          <w:sz w:val="28"/>
          <w:szCs w:val="28"/>
        </w:rPr>
        <w:t xml:space="preserve"> </w:t>
      </w:r>
      <w:r w:rsidR="000238A0" w:rsidRPr="000238A0">
        <w:rPr>
          <w:rFonts w:ascii="仿宋_GB2312" w:hAnsi="仿宋_GB2312" w:cs="仿宋_GB2312" w:hint="eastAsia"/>
          <w:kern w:val="2"/>
          <w:sz w:val="28"/>
          <w:szCs w:val="28"/>
        </w:rPr>
        <w:t xml:space="preserve">    2021年10月23日发</w:t>
      </w:r>
    </w:p>
    <w:sectPr w:rsidR="000238A0" w:rsidRPr="000238A0" w:rsidSect="00E52C7F">
      <w:footerReference w:type="even" r:id="rId8"/>
      <w:footerReference w:type="default" r:id="rId9"/>
      <w:pgSz w:w="11906" w:h="16838"/>
      <w:pgMar w:top="2098" w:right="1474" w:bottom="1985" w:left="1588" w:header="851" w:footer="1724" w:gutter="0"/>
      <w:cols w:space="720"/>
      <w:docGrid w:type="linesAndChar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5B" w:rsidRDefault="00892B5B" w:rsidP="00E52C7F">
      <w:r>
        <w:separator/>
      </w:r>
    </w:p>
  </w:endnote>
  <w:endnote w:type="continuationSeparator" w:id="0">
    <w:p w:rsidR="00892B5B" w:rsidRDefault="00892B5B" w:rsidP="00E5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7F" w:rsidRDefault="00672A1A">
    <w:pPr>
      <w:pStyle w:val="a6"/>
      <w:framePr w:wrap="around" w:vAnchor="text" w:hAnchor="margin" w:xAlign="outside" w:y="1"/>
      <w:ind w:firstLineChars="100" w:firstLine="280"/>
      <w:rPr>
        <w:rStyle w:val="a8"/>
        <w:rFonts w:ascii="宋体" w:eastAsia="宋体" w:hAnsi="宋体"/>
        <w:sz w:val="28"/>
      </w:rPr>
    </w:pPr>
    <w:r>
      <w:rPr>
        <w:rStyle w:val="a8"/>
        <w:rFonts w:ascii="宋体" w:eastAsia="宋体" w:hAnsi="宋体" w:hint="eastAsia"/>
        <w:sz w:val="28"/>
      </w:rPr>
      <w:t xml:space="preserve">— </w:t>
    </w:r>
    <w:r w:rsidR="00C833D4">
      <w:rPr>
        <w:rStyle w:val="a8"/>
        <w:rFonts w:ascii="宋体" w:eastAsia="宋体" w:hAnsi="宋体"/>
        <w:sz w:val="28"/>
      </w:rPr>
      <w:fldChar w:fldCharType="begin"/>
    </w:r>
    <w:r>
      <w:rPr>
        <w:rStyle w:val="a8"/>
        <w:rFonts w:ascii="宋体" w:eastAsia="宋体" w:hAnsi="宋体"/>
        <w:sz w:val="28"/>
      </w:rPr>
      <w:instrText xml:space="preserve">PAGE  </w:instrText>
    </w:r>
    <w:r w:rsidR="00C833D4">
      <w:rPr>
        <w:rStyle w:val="a8"/>
        <w:rFonts w:ascii="宋体" w:eastAsia="宋体" w:hAnsi="宋体"/>
        <w:sz w:val="28"/>
      </w:rPr>
      <w:fldChar w:fldCharType="separate"/>
    </w:r>
    <w:r>
      <w:rPr>
        <w:rStyle w:val="a8"/>
        <w:rFonts w:ascii="宋体" w:eastAsia="宋体" w:hAnsi="宋体"/>
        <w:sz w:val="28"/>
      </w:rPr>
      <w:t>1</w:t>
    </w:r>
    <w:r w:rsidR="00C833D4">
      <w:rPr>
        <w:rStyle w:val="a8"/>
        <w:rFonts w:ascii="宋体" w:eastAsia="宋体" w:hAnsi="宋体"/>
        <w:sz w:val="28"/>
      </w:rPr>
      <w:fldChar w:fldCharType="end"/>
    </w:r>
    <w:r>
      <w:rPr>
        <w:rStyle w:val="a8"/>
        <w:rFonts w:ascii="宋体" w:eastAsia="宋体" w:hAnsi="宋体" w:hint="eastAsia"/>
        <w:sz w:val="28"/>
      </w:rPr>
      <w:t xml:space="preserve"> —</w:t>
    </w:r>
  </w:p>
  <w:p w:rsidR="00E52C7F" w:rsidRDefault="00E52C7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7F" w:rsidRDefault="00672A1A">
    <w:pPr>
      <w:pStyle w:val="a6"/>
      <w:framePr w:w="1251" w:wrap="around" w:vAnchor="text" w:hAnchor="page" w:x="9116" w:y="4"/>
      <w:rPr>
        <w:rStyle w:val="a8"/>
        <w:rFonts w:ascii="宋体" w:eastAsia="宋体" w:hAnsi="宋体"/>
        <w:sz w:val="28"/>
      </w:rPr>
    </w:pPr>
    <w:r>
      <w:rPr>
        <w:rStyle w:val="a8"/>
        <w:rFonts w:ascii="宋体" w:eastAsia="宋体" w:hAnsi="宋体" w:hint="eastAsia"/>
        <w:sz w:val="28"/>
      </w:rPr>
      <w:t xml:space="preserve">— </w:t>
    </w:r>
    <w:r w:rsidR="00C833D4">
      <w:rPr>
        <w:rStyle w:val="a8"/>
        <w:rFonts w:ascii="宋体" w:eastAsia="宋体" w:hAnsi="宋体"/>
        <w:sz w:val="28"/>
      </w:rPr>
      <w:fldChar w:fldCharType="begin"/>
    </w:r>
    <w:r>
      <w:rPr>
        <w:rStyle w:val="a8"/>
        <w:rFonts w:ascii="宋体" w:eastAsia="宋体" w:hAnsi="宋体"/>
        <w:sz w:val="28"/>
      </w:rPr>
      <w:instrText xml:space="preserve">PAGE  </w:instrText>
    </w:r>
    <w:r w:rsidR="00C833D4">
      <w:rPr>
        <w:rStyle w:val="a8"/>
        <w:rFonts w:ascii="宋体" w:eastAsia="宋体" w:hAnsi="宋体"/>
        <w:sz w:val="28"/>
      </w:rPr>
      <w:fldChar w:fldCharType="separate"/>
    </w:r>
    <w:r w:rsidR="003F1DC0">
      <w:rPr>
        <w:rStyle w:val="a8"/>
        <w:rFonts w:ascii="宋体" w:eastAsia="宋体" w:hAnsi="宋体"/>
        <w:noProof/>
        <w:sz w:val="28"/>
      </w:rPr>
      <w:t>1</w:t>
    </w:r>
    <w:r w:rsidR="00C833D4">
      <w:rPr>
        <w:rStyle w:val="a8"/>
        <w:rFonts w:ascii="宋体" w:eastAsia="宋体" w:hAnsi="宋体"/>
        <w:sz w:val="28"/>
      </w:rPr>
      <w:fldChar w:fldCharType="end"/>
    </w:r>
    <w:r>
      <w:rPr>
        <w:rStyle w:val="a8"/>
        <w:rFonts w:ascii="宋体" w:eastAsia="宋体" w:hAnsi="宋体" w:hint="eastAsia"/>
        <w:sz w:val="28"/>
      </w:rPr>
      <w:t xml:space="preserve"> —</w:t>
    </w:r>
  </w:p>
  <w:p w:rsidR="00E52C7F" w:rsidRDefault="00E52C7F">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5B" w:rsidRDefault="00892B5B" w:rsidP="00E52C7F">
      <w:r>
        <w:separator/>
      </w:r>
    </w:p>
  </w:footnote>
  <w:footnote w:type="continuationSeparator" w:id="0">
    <w:p w:rsidR="00892B5B" w:rsidRDefault="00892B5B" w:rsidP="00E52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296"/>
  <w:displayHorizontalDrawingGridEvery w:val="0"/>
  <w:displayVerticalDrawingGridEvery w:val="2"/>
  <w:characterSpacingControl w:val="compressPunctuation"/>
  <w:hdrShapeDefaults>
    <o:shapedefaults v:ext="edit" spidmax="1126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F"/>
    <w:rsid w:val="000238A0"/>
    <w:rsid w:val="003F1DC0"/>
    <w:rsid w:val="00546806"/>
    <w:rsid w:val="00672A1A"/>
    <w:rsid w:val="00700AE4"/>
    <w:rsid w:val="007C16A9"/>
    <w:rsid w:val="00892B5B"/>
    <w:rsid w:val="00C833D4"/>
    <w:rsid w:val="00E52C7F"/>
    <w:rsid w:val="00E56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fillcolor="#9cbee0" strokecolor="#739cc3">
      <v:fill color="#9cbee0" color2="#bbd5f0" type="gradient">
        <o:fill v:ext="view" type="gradientUnscaled"/>
      </v:fill>
      <v:stroke color="#739cc3" weight="1.25pt" miterlimit="2"/>
    </o:shapedefaults>
    <o:shapelayout v:ext="edit">
      <o:idmap v:ext="edit" data="1"/>
      <o:rules v:ext="edit">
        <o:r id="V:Rule2" type="connector" idref="#Straight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7F"/>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52C7F"/>
    <w:pPr>
      <w:spacing w:after="120"/>
    </w:pPr>
    <w:rPr>
      <w:kern w:val="2"/>
    </w:rPr>
  </w:style>
  <w:style w:type="paragraph" w:styleId="a4">
    <w:name w:val="Date"/>
    <w:basedOn w:val="a"/>
    <w:next w:val="a"/>
    <w:link w:val="Char0"/>
    <w:uiPriority w:val="99"/>
    <w:semiHidden/>
    <w:unhideWhenUsed/>
    <w:rsid w:val="00E52C7F"/>
    <w:pPr>
      <w:ind w:leftChars="2500" w:left="100"/>
    </w:pPr>
  </w:style>
  <w:style w:type="paragraph" w:styleId="a5">
    <w:name w:val="Balloon Text"/>
    <w:basedOn w:val="a"/>
    <w:link w:val="Char1"/>
    <w:uiPriority w:val="99"/>
    <w:semiHidden/>
    <w:unhideWhenUsed/>
    <w:rsid w:val="00E52C7F"/>
    <w:rPr>
      <w:sz w:val="18"/>
      <w:szCs w:val="18"/>
    </w:rPr>
  </w:style>
  <w:style w:type="paragraph" w:styleId="a6">
    <w:name w:val="footer"/>
    <w:basedOn w:val="a"/>
    <w:link w:val="Char2"/>
    <w:rsid w:val="00E52C7F"/>
    <w:pPr>
      <w:tabs>
        <w:tab w:val="center" w:pos="4153"/>
        <w:tab w:val="right" w:pos="8306"/>
      </w:tabs>
      <w:snapToGrid w:val="0"/>
      <w:jc w:val="left"/>
    </w:pPr>
    <w:rPr>
      <w:sz w:val="18"/>
      <w:szCs w:val="18"/>
    </w:rPr>
  </w:style>
  <w:style w:type="paragraph" w:styleId="a7">
    <w:name w:val="header"/>
    <w:basedOn w:val="a"/>
    <w:link w:val="Char3"/>
    <w:uiPriority w:val="99"/>
    <w:unhideWhenUsed/>
    <w:rsid w:val="00E52C7F"/>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E52C7F"/>
  </w:style>
  <w:style w:type="character" w:customStyle="1" w:styleId="Char2">
    <w:name w:val="页脚 Char"/>
    <w:link w:val="a6"/>
    <w:rsid w:val="00E52C7F"/>
    <w:rPr>
      <w:rFonts w:ascii="Times New Roman" w:eastAsia="仿宋_GB2312" w:hAnsi="Times New Roman" w:cs="Times New Roman"/>
      <w:kern w:val="0"/>
      <w:sz w:val="18"/>
      <w:szCs w:val="18"/>
    </w:rPr>
  </w:style>
  <w:style w:type="character" w:customStyle="1" w:styleId="Char3">
    <w:name w:val="页眉 Char"/>
    <w:link w:val="a7"/>
    <w:uiPriority w:val="99"/>
    <w:rsid w:val="00E52C7F"/>
    <w:rPr>
      <w:rFonts w:ascii="Times New Roman" w:eastAsia="仿宋_GB2312" w:hAnsi="Times New Roman" w:cs="Times New Roman"/>
      <w:kern w:val="0"/>
      <w:sz w:val="18"/>
      <w:szCs w:val="18"/>
    </w:rPr>
  </w:style>
  <w:style w:type="character" w:customStyle="1" w:styleId="Char0">
    <w:name w:val="日期 Char"/>
    <w:link w:val="a4"/>
    <w:uiPriority w:val="99"/>
    <w:semiHidden/>
    <w:rsid w:val="00E52C7F"/>
    <w:rPr>
      <w:rFonts w:ascii="Times New Roman" w:eastAsia="仿宋_GB2312" w:hAnsi="Times New Roman" w:cs="Times New Roman"/>
      <w:kern w:val="0"/>
      <w:sz w:val="32"/>
      <w:szCs w:val="24"/>
    </w:rPr>
  </w:style>
  <w:style w:type="character" w:customStyle="1" w:styleId="Char1">
    <w:name w:val="批注框文本 Char"/>
    <w:link w:val="a5"/>
    <w:uiPriority w:val="99"/>
    <w:semiHidden/>
    <w:rsid w:val="00E52C7F"/>
    <w:rPr>
      <w:rFonts w:ascii="Times New Roman" w:eastAsia="仿宋_GB2312" w:hAnsi="Times New Roman" w:cs="Times New Roman"/>
      <w:kern w:val="0"/>
      <w:sz w:val="18"/>
      <w:szCs w:val="18"/>
    </w:rPr>
  </w:style>
  <w:style w:type="character" w:customStyle="1" w:styleId="Char">
    <w:name w:val="正文文本 Char"/>
    <w:link w:val="a3"/>
    <w:rsid w:val="00E52C7F"/>
    <w:rPr>
      <w:rFonts w:eastAsia="仿宋_GB2312"/>
      <w:kern w:val="2"/>
      <w:sz w:val="32"/>
      <w:szCs w:val="24"/>
    </w:rPr>
  </w:style>
  <w:style w:type="character" w:customStyle="1" w:styleId="Char10">
    <w:name w:val="正文文本 Char1"/>
    <w:semiHidden/>
    <w:rsid w:val="00E52C7F"/>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7F"/>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52C7F"/>
    <w:pPr>
      <w:spacing w:after="120"/>
    </w:pPr>
    <w:rPr>
      <w:kern w:val="2"/>
    </w:rPr>
  </w:style>
  <w:style w:type="paragraph" w:styleId="a4">
    <w:name w:val="Date"/>
    <w:basedOn w:val="a"/>
    <w:next w:val="a"/>
    <w:link w:val="Char0"/>
    <w:uiPriority w:val="99"/>
    <w:semiHidden/>
    <w:unhideWhenUsed/>
    <w:rsid w:val="00E52C7F"/>
    <w:pPr>
      <w:ind w:leftChars="2500" w:left="100"/>
    </w:pPr>
  </w:style>
  <w:style w:type="paragraph" w:styleId="a5">
    <w:name w:val="Balloon Text"/>
    <w:basedOn w:val="a"/>
    <w:link w:val="Char1"/>
    <w:uiPriority w:val="99"/>
    <w:semiHidden/>
    <w:unhideWhenUsed/>
    <w:rsid w:val="00E52C7F"/>
    <w:rPr>
      <w:sz w:val="18"/>
      <w:szCs w:val="18"/>
    </w:rPr>
  </w:style>
  <w:style w:type="paragraph" w:styleId="a6">
    <w:name w:val="footer"/>
    <w:basedOn w:val="a"/>
    <w:link w:val="Char2"/>
    <w:rsid w:val="00E52C7F"/>
    <w:pPr>
      <w:tabs>
        <w:tab w:val="center" w:pos="4153"/>
        <w:tab w:val="right" w:pos="8306"/>
      </w:tabs>
      <w:snapToGrid w:val="0"/>
      <w:jc w:val="left"/>
    </w:pPr>
    <w:rPr>
      <w:sz w:val="18"/>
      <w:szCs w:val="18"/>
    </w:rPr>
  </w:style>
  <w:style w:type="paragraph" w:styleId="a7">
    <w:name w:val="header"/>
    <w:basedOn w:val="a"/>
    <w:link w:val="Char3"/>
    <w:uiPriority w:val="99"/>
    <w:unhideWhenUsed/>
    <w:rsid w:val="00E52C7F"/>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E52C7F"/>
  </w:style>
  <w:style w:type="character" w:customStyle="1" w:styleId="Char2">
    <w:name w:val="页脚 Char"/>
    <w:link w:val="a6"/>
    <w:rsid w:val="00E52C7F"/>
    <w:rPr>
      <w:rFonts w:ascii="Times New Roman" w:eastAsia="仿宋_GB2312" w:hAnsi="Times New Roman" w:cs="Times New Roman"/>
      <w:kern w:val="0"/>
      <w:sz w:val="18"/>
      <w:szCs w:val="18"/>
    </w:rPr>
  </w:style>
  <w:style w:type="character" w:customStyle="1" w:styleId="Char3">
    <w:name w:val="页眉 Char"/>
    <w:link w:val="a7"/>
    <w:uiPriority w:val="99"/>
    <w:rsid w:val="00E52C7F"/>
    <w:rPr>
      <w:rFonts w:ascii="Times New Roman" w:eastAsia="仿宋_GB2312" w:hAnsi="Times New Roman" w:cs="Times New Roman"/>
      <w:kern w:val="0"/>
      <w:sz w:val="18"/>
      <w:szCs w:val="18"/>
    </w:rPr>
  </w:style>
  <w:style w:type="character" w:customStyle="1" w:styleId="Char0">
    <w:name w:val="日期 Char"/>
    <w:link w:val="a4"/>
    <w:uiPriority w:val="99"/>
    <w:semiHidden/>
    <w:rsid w:val="00E52C7F"/>
    <w:rPr>
      <w:rFonts w:ascii="Times New Roman" w:eastAsia="仿宋_GB2312" w:hAnsi="Times New Roman" w:cs="Times New Roman"/>
      <w:kern w:val="0"/>
      <w:sz w:val="32"/>
      <w:szCs w:val="24"/>
    </w:rPr>
  </w:style>
  <w:style w:type="character" w:customStyle="1" w:styleId="Char1">
    <w:name w:val="批注框文本 Char"/>
    <w:link w:val="a5"/>
    <w:uiPriority w:val="99"/>
    <w:semiHidden/>
    <w:rsid w:val="00E52C7F"/>
    <w:rPr>
      <w:rFonts w:ascii="Times New Roman" w:eastAsia="仿宋_GB2312" w:hAnsi="Times New Roman" w:cs="Times New Roman"/>
      <w:kern w:val="0"/>
      <w:sz w:val="18"/>
      <w:szCs w:val="18"/>
    </w:rPr>
  </w:style>
  <w:style w:type="character" w:customStyle="1" w:styleId="Char">
    <w:name w:val="正文文本 Char"/>
    <w:link w:val="a3"/>
    <w:rsid w:val="00E52C7F"/>
    <w:rPr>
      <w:rFonts w:eastAsia="仿宋_GB2312"/>
      <w:kern w:val="2"/>
      <w:sz w:val="32"/>
      <w:szCs w:val="24"/>
    </w:rPr>
  </w:style>
  <w:style w:type="character" w:customStyle="1" w:styleId="Char10">
    <w:name w:val="正文文本 Char1"/>
    <w:semiHidden/>
    <w:rsid w:val="00E52C7F"/>
    <w:rPr>
      <w:rFonts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334</Words>
  <Characters>1904</Characters>
  <Application>Microsoft Office Word</Application>
  <DocSecurity>4</DocSecurity>
  <Lines>15</Lines>
  <Paragraphs>4</Paragraphs>
  <ScaleCrop>false</ScaleCrop>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青岛市黄岛区人民法院文件</dc:title>
  <dc:creator>彭震</dc:creator>
  <cp:lastModifiedBy>神维东</cp:lastModifiedBy>
  <cp:revision>2</cp:revision>
  <cp:lastPrinted>2021-10-25T03:09:00Z</cp:lastPrinted>
  <dcterms:created xsi:type="dcterms:W3CDTF">2021-10-28T06:11:00Z</dcterms:created>
  <dcterms:modified xsi:type="dcterms:W3CDTF">2021-10-28T06:11:00Z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