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629" w:rsidRDefault="00252A2C">
      <w:pPr>
        <w:pStyle w:val="a3"/>
        <w:spacing w:line="1380" w:lineRule="exact"/>
        <w:jc w:val="center"/>
        <w:rPr>
          <w:rFonts w:ascii="方正小标宋_GBK" w:eastAsia="方正小标宋_GBK" w:hAnsi="方正小标宋简体"/>
          <w:bCs/>
          <w:color w:val="FF0000"/>
          <w:w w:val="55"/>
          <w:sz w:val="130"/>
          <w:szCs w:val="130"/>
        </w:rPr>
      </w:pPr>
      <w:r>
        <w:rPr>
          <w:rFonts w:ascii="方正小标宋_GBK" w:eastAsia="方正小标宋_GBK" w:hAnsi="方正小标宋简体" w:hint="eastAsia"/>
          <w:bCs/>
          <w:color w:val="FF0000"/>
          <w:w w:val="55"/>
          <w:sz w:val="130"/>
          <w:szCs w:val="130"/>
        </w:rPr>
        <w:t>青岛市黄岛区人民法院文件</w:t>
      </w:r>
    </w:p>
    <w:p w:rsidR="00AA3629" w:rsidRDefault="00AA3629">
      <w:pPr>
        <w:spacing w:line="520" w:lineRule="exact"/>
        <w:ind w:firstLine="640"/>
        <w:jc w:val="center"/>
        <w:rPr>
          <w:rFonts w:ascii="仿宋_GB2312"/>
          <w:szCs w:val="32"/>
        </w:rPr>
      </w:pPr>
    </w:p>
    <w:p w:rsidR="00AA3629" w:rsidRDefault="00AA3629">
      <w:pPr>
        <w:spacing w:line="520" w:lineRule="exact"/>
        <w:ind w:firstLine="640"/>
        <w:jc w:val="center"/>
        <w:rPr>
          <w:rFonts w:ascii="仿宋_GB2312"/>
          <w:szCs w:val="32"/>
        </w:rPr>
      </w:pPr>
    </w:p>
    <w:p w:rsidR="00AA3629" w:rsidRDefault="00252A2C">
      <w:pPr>
        <w:jc w:val="center"/>
        <w:rPr>
          <w:rFonts w:ascii="仿宋_GB2312" w:hAnsi="仿宋"/>
          <w:szCs w:val="32"/>
        </w:rPr>
      </w:pPr>
      <w:r>
        <w:rPr>
          <w:rFonts w:ascii="仿宋_GB2312" w:hAnsi="仿宋" w:hint="eastAsia"/>
          <w:szCs w:val="32"/>
        </w:rPr>
        <w:t>青黄法发〔2021〕</w:t>
      </w:r>
      <w:r w:rsidR="00F70509">
        <w:rPr>
          <w:rFonts w:ascii="仿宋_GB2312" w:hAnsi="仿宋" w:hint="eastAsia"/>
          <w:szCs w:val="32"/>
        </w:rPr>
        <w:t>60</w:t>
      </w:r>
      <w:r>
        <w:rPr>
          <w:rFonts w:ascii="仿宋_GB2312" w:hAnsi="仿宋" w:hint="eastAsia"/>
          <w:szCs w:val="32"/>
        </w:rPr>
        <w:t>号</w:t>
      </w:r>
    </w:p>
    <w:p w:rsidR="00AA3629" w:rsidRDefault="00136207">
      <w:pPr>
        <w:spacing w:line="400" w:lineRule="exact"/>
        <w:jc w:val="center"/>
        <w:rPr>
          <w:rFonts w:ascii="黑体" w:eastAsia="黑体" w:hAnsi="黑体"/>
          <w:sz w:val="36"/>
          <w:szCs w:val="36"/>
        </w:rPr>
      </w:pPr>
      <w:r>
        <w:rPr>
          <w:rFonts w:ascii="黑体" w:eastAsia="黑体" w:hAnsi="黑体"/>
          <w:sz w:val="36"/>
          <w:szCs w:val="36"/>
        </w:rPr>
        <w:pict>
          <v:shapetype id="_x0000_t32" coordsize="21600,21600" o:spt="32" o:oned="t" path="m,l21600,21600e" filled="f">
            <v:path arrowok="t" fillok="f" o:connecttype="none"/>
            <o:lock v:ext="edit" shapetype="t"/>
          </v:shapetype>
          <v:shape id="Straight Connector 2" o:spid="_x0000_s1026" type="#_x0000_t32" style="position:absolute;left:0;text-align:left;margin-left:2.8pt;margin-top:8.5pt;width:436.8pt;height:.05pt;z-index:251658240" o:connectortype="straight" o:preferrelative="t" strokecolor="red" strokeweight="1.5pt">
            <v:stroke miterlimit="2"/>
          </v:shape>
        </w:pict>
      </w:r>
    </w:p>
    <w:p w:rsidR="00AA3629" w:rsidRDefault="00AA3629">
      <w:pPr>
        <w:spacing w:line="440" w:lineRule="exact"/>
        <w:jc w:val="center"/>
        <w:rPr>
          <w:color w:val="FF0000"/>
          <w:u w:val="thick"/>
        </w:rPr>
      </w:pPr>
    </w:p>
    <w:p w:rsidR="00AA3629" w:rsidRPr="00F70509" w:rsidRDefault="00252A2C">
      <w:pPr>
        <w:spacing w:line="560" w:lineRule="exact"/>
        <w:jc w:val="center"/>
        <w:rPr>
          <w:rFonts w:ascii="方正小标宋_GBK" w:eastAsia="方正小标宋_GBK" w:hAnsi="黑体" w:cs="黑体"/>
          <w:bCs/>
          <w:sz w:val="44"/>
          <w:szCs w:val="44"/>
        </w:rPr>
      </w:pPr>
      <w:r>
        <w:rPr>
          <w:rFonts w:ascii="方正小标宋_GBK" w:eastAsia="方正小标宋_GBK" w:hAnsi="黑体" w:cs="黑体" w:hint="eastAsia"/>
          <w:bCs/>
          <w:sz w:val="44"/>
          <w:szCs w:val="44"/>
        </w:rPr>
        <w:t>青岛市黄岛区人民法院</w:t>
      </w:r>
    </w:p>
    <w:p w:rsidR="00AA3629" w:rsidRDefault="00252A2C">
      <w:pPr>
        <w:spacing w:line="560" w:lineRule="exact"/>
        <w:jc w:val="center"/>
        <w:rPr>
          <w:rFonts w:ascii="方正小标宋_GBK" w:eastAsia="方正小标宋_GBK" w:hAnsi="黑体" w:cs="黑体"/>
          <w:bCs/>
          <w:sz w:val="44"/>
          <w:szCs w:val="44"/>
        </w:rPr>
      </w:pPr>
      <w:r>
        <w:rPr>
          <w:rFonts w:ascii="方正小标宋_GBK" w:eastAsia="方正小标宋_GBK" w:hAnsi="黑体" w:cs="黑体" w:hint="eastAsia"/>
          <w:bCs/>
          <w:sz w:val="44"/>
          <w:szCs w:val="44"/>
        </w:rPr>
        <w:t>关于转发青岛市中级人民法院《</w:t>
      </w:r>
      <w:r w:rsidRPr="00F70509">
        <w:rPr>
          <w:rFonts w:ascii="方正小标宋_GBK" w:eastAsia="方正小标宋_GBK" w:hAnsi="黑体" w:cs="黑体" w:hint="eastAsia"/>
          <w:bCs/>
          <w:sz w:val="44"/>
          <w:szCs w:val="44"/>
        </w:rPr>
        <w:t>关联企业实质合并破产工作操作指引（试行）</w:t>
      </w:r>
      <w:r>
        <w:rPr>
          <w:rFonts w:ascii="方正小标宋_GBK" w:eastAsia="方正小标宋_GBK" w:hAnsi="黑体" w:cs="黑体" w:hint="eastAsia"/>
          <w:bCs/>
          <w:sz w:val="44"/>
          <w:szCs w:val="44"/>
        </w:rPr>
        <w:t>》的通知</w:t>
      </w:r>
    </w:p>
    <w:p w:rsidR="00AA3629" w:rsidRDefault="00AA3629">
      <w:pPr>
        <w:spacing w:line="560" w:lineRule="exact"/>
        <w:rPr>
          <w:rFonts w:ascii="仿宋" w:eastAsia="仿宋" w:hAnsi="仿宋" w:cs="仿宋"/>
          <w:bCs/>
          <w:szCs w:val="32"/>
        </w:rPr>
      </w:pPr>
    </w:p>
    <w:p w:rsidR="00AA3629" w:rsidRDefault="00252A2C" w:rsidP="00F70509">
      <w:pPr>
        <w:spacing w:line="560" w:lineRule="exact"/>
        <w:rPr>
          <w:rFonts w:ascii="仿宋_GB2312" w:hAnsi="仿宋" w:cs="仿宋"/>
          <w:bCs/>
          <w:szCs w:val="32"/>
        </w:rPr>
      </w:pPr>
      <w:r>
        <w:rPr>
          <w:rFonts w:ascii="仿宋_GB2312" w:hAnsi="仿宋" w:cs="仿宋" w:hint="eastAsia"/>
          <w:bCs/>
          <w:szCs w:val="32"/>
        </w:rPr>
        <w:t>各部门：</w:t>
      </w:r>
    </w:p>
    <w:p w:rsidR="00AA3629" w:rsidRDefault="00252A2C" w:rsidP="00F70509">
      <w:pPr>
        <w:spacing w:line="560" w:lineRule="exact"/>
        <w:ind w:firstLineChars="200" w:firstLine="632"/>
        <w:jc w:val="left"/>
        <w:rPr>
          <w:rFonts w:ascii="仿宋_GB2312" w:hAnsi="宋体" w:cs="宋体"/>
          <w:bCs/>
          <w:szCs w:val="32"/>
        </w:rPr>
      </w:pPr>
      <w:r>
        <w:rPr>
          <w:rFonts w:ascii="仿宋_GB2312" w:hAnsi="仿宋" w:cs="仿宋" w:hint="eastAsia"/>
          <w:bCs/>
          <w:szCs w:val="32"/>
        </w:rPr>
        <w:t>青岛市中级人民法院下发了《关联企业实质合并破产工作操作指引（试行）》（青中法〔2021〕80号），现将文件予以转发，请各部门遵照执行。</w:t>
      </w:r>
    </w:p>
    <w:p w:rsidR="00AA3629" w:rsidRDefault="00AA3629" w:rsidP="00F70509">
      <w:pPr>
        <w:spacing w:line="560" w:lineRule="exact"/>
        <w:ind w:firstLineChars="200" w:firstLine="875"/>
        <w:jc w:val="center"/>
        <w:rPr>
          <w:rFonts w:ascii="仿宋_GB2312" w:hAnsi="宋体" w:cs="宋体"/>
          <w:b/>
          <w:sz w:val="44"/>
        </w:rPr>
      </w:pPr>
    </w:p>
    <w:p w:rsidR="00AA3629" w:rsidRDefault="00AA3629" w:rsidP="00F70509">
      <w:pPr>
        <w:spacing w:line="560" w:lineRule="exact"/>
        <w:ind w:firstLineChars="200" w:firstLine="875"/>
        <w:jc w:val="center"/>
        <w:rPr>
          <w:rFonts w:ascii="仿宋_GB2312" w:hAnsi="宋体" w:cs="宋体"/>
          <w:b/>
          <w:sz w:val="44"/>
        </w:rPr>
      </w:pPr>
    </w:p>
    <w:p w:rsidR="00AA3629" w:rsidRDefault="00252A2C" w:rsidP="00F70509">
      <w:pPr>
        <w:spacing w:line="560" w:lineRule="exact"/>
        <w:ind w:right="316"/>
        <w:jc w:val="right"/>
        <w:rPr>
          <w:rFonts w:ascii="仿宋_GB2312" w:hAnsi="宋体" w:cs="宋体"/>
          <w:szCs w:val="32"/>
        </w:rPr>
      </w:pPr>
      <w:r>
        <w:rPr>
          <w:rFonts w:ascii="仿宋_GB2312" w:hAnsi="宋体" w:cs="宋体" w:hint="eastAsia"/>
          <w:szCs w:val="32"/>
        </w:rPr>
        <w:t xml:space="preserve">青岛市黄岛区人民法院 </w:t>
      </w:r>
    </w:p>
    <w:p w:rsidR="00AA3629" w:rsidRDefault="00252A2C" w:rsidP="00F70509">
      <w:pPr>
        <w:spacing w:line="560" w:lineRule="exact"/>
        <w:ind w:right="632"/>
        <w:jc w:val="right"/>
        <w:rPr>
          <w:rFonts w:ascii="仿宋_GB2312" w:hAnsi="仿宋" w:cs="仿宋"/>
          <w:bCs/>
          <w:szCs w:val="32"/>
        </w:rPr>
      </w:pPr>
      <w:r>
        <w:rPr>
          <w:rFonts w:ascii="仿宋_GB2312" w:hAnsi="仿宋" w:cs="仿宋" w:hint="eastAsia"/>
          <w:bCs/>
          <w:szCs w:val="32"/>
        </w:rPr>
        <w:t>2021年11月2日</w:t>
      </w:r>
    </w:p>
    <w:p w:rsidR="00AA3629" w:rsidRDefault="00AA3629">
      <w:pPr>
        <w:spacing w:line="560" w:lineRule="exact"/>
        <w:ind w:right="632"/>
        <w:jc w:val="right"/>
        <w:rPr>
          <w:rFonts w:ascii="仿宋_GB2312" w:hAnsi="仿宋" w:cs="仿宋"/>
          <w:bCs/>
          <w:szCs w:val="32"/>
        </w:rPr>
      </w:pPr>
    </w:p>
    <w:p w:rsidR="00AA3629" w:rsidRDefault="00AA3629">
      <w:pPr>
        <w:spacing w:line="560" w:lineRule="exact"/>
        <w:ind w:right="632"/>
        <w:jc w:val="right"/>
        <w:rPr>
          <w:rFonts w:ascii="仿宋_GB2312" w:hAnsi="仿宋" w:cs="仿宋"/>
          <w:bCs/>
          <w:szCs w:val="32"/>
        </w:rPr>
      </w:pPr>
    </w:p>
    <w:p w:rsidR="00AA3629" w:rsidRDefault="00AA3629">
      <w:pPr>
        <w:spacing w:line="560" w:lineRule="exact"/>
        <w:jc w:val="distribute"/>
        <w:rPr>
          <w:rFonts w:ascii="仿宋" w:eastAsia="仿宋" w:hAnsi="仿宋" w:cs="仿宋"/>
          <w:szCs w:val="32"/>
        </w:rPr>
      </w:pPr>
      <w:bookmarkStart w:id="0" w:name="_GoBack"/>
      <w:bookmarkEnd w:id="0"/>
    </w:p>
    <w:p w:rsidR="00F70509" w:rsidRPr="00F70509" w:rsidRDefault="00F70509" w:rsidP="00F70509">
      <w:pPr>
        <w:widowControl/>
        <w:spacing w:line="680" w:lineRule="exact"/>
        <w:jc w:val="center"/>
        <w:rPr>
          <w:rFonts w:ascii="方正小标宋_GBK" w:eastAsia="方正小标宋_GBK" w:hAnsi="Liberation Serif" w:cs="Liberation Serif"/>
          <w:sz w:val="44"/>
          <w:szCs w:val="44"/>
        </w:rPr>
      </w:pPr>
      <w:r w:rsidRPr="00F70509">
        <w:rPr>
          <w:rFonts w:ascii="方正小标宋_GBK" w:eastAsia="方正小标宋_GBK" w:hAnsi="Liberation Serif" w:cs="Liberation Serif" w:hint="eastAsia"/>
          <w:sz w:val="44"/>
          <w:szCs w:val="44"/>
        </w:rPr>
        <w:lastRenderedPageBreak/>
        <w:t>山东省青岛市中级人民法院</w:t>
      </w:r>
    </w:p>
    <w:p w:rsidR="00F70509" w:rsidRPr="00F70509" w:rsidRDefault="00F70509" w:rsidP="00F70509">
      <w:pPr>
        <w:widowControl/>
        <w:spacing w:line="680" w:lineRule="exact"/>
        <w:jc w:val="center"/>
        <w:rPr>
          <w:rFonts w:ascii="方正小标宋_GBK" w:eastAsia="方正小标宋_GBK" w:hAnsi="Arial" w:cs="Arial"/>
          <w:sz w:val="44"/>
          <w:szCs w:val="44"/>
        </w:rPr>
      </w:pPr>
      <w:r w:rsidRPr="00F70509">
        <w:rPr>
          <w:rFonts w:ascii="方正小标宋_GBK" w:eastAsia="方正小标宋_GBK" w:hAnsi="Liberation Serif" w:cs="Liberation Serif" w:hint="eastAsia"/>
          <w:sz w:val="44"/>
          <w:szCs w:val="44"/>
        </w:rPr>
        <w:t>关联企业实质合并破产工作操作指引（试行）</w:t>
      </w:r>
    </w:p>
    <w:p w:rsidR="00F70509" w:rsidRPr="00F70509" w:rsidRDefault="00F70509" w:rsidP="00F70509">
      <w:pPr>
        <w:widowControl/>
        <w:spacing w:line="432" w:lineRule="auto"/>
        <w:ind w:firstLineChars="200" w:firstLine="632"/>
        <w:jc w:val="center"/>
        <w:rPr>
          <w:rFonts w:ascii="仿宋_GB2312" w:hAnsi="Arial" w:cs="Arial"/>
          <w:szCs w:val="32"/>
        </w:rPr>
      </w:pPr>
      <w:r w:rsidRPr="00604096">
        <w:rPr>
          <w:rFonts w:ascii="仿宋_GB2312" w:hint="eastAsia"/>
          <w:color w:val="000000"/>
          <w:szCs w:val="32"/>
        </w:rPr>
        <w:t>青中法〔2021〕</w:t>
      </w:r>
      <w:r>
        <w:rPr>
          <w:rFonts w:ascii="仿宋_GB2312" w:hint="eastAsia"/>
          <w:color w:val="000000"/>
          <w:szCs w:val="32"/>
        </w:rPr>
        <w:t>80</w:t>
      </w:r>
      <w:r w:rsidRPr="00604096">
        <w:rPr>
          <w:rFonts w:ascii="仿宋_GB2312" w:hint="eastAsia"/>
          <w:color w:val="000000"/>
          <w:szCs w:val="32"/>
        </w:rPr>
        <w:t>号</w:t>
      </w:r>
    </w:p>
    <w:p w:rsidR="00F70509" w:rsidRPr="00F70509" w:rsidRDefault="00F70509" w:rsidP="00F70509">
      <w:pPr>
        <w:widowControl/>
        <w:snapToGrid w:val="0"/>
        <w:spacing w:line="560" w:lineRule="exact"/>
        <w:ind w:firstLineChars="200" w:firstLine="632"/>
        <w:contextualSpacing/>
        <w:jc w:val="left"/>
        <w:rPr>
          <w:rFonts w:ascii="仿宋_GB2312" w:hAnsi="Arial" w:cs="Arial"/>
          <w:szCs w:val="32"/>
        </w:rPr>
      </w:pPr>
      <w:r w:rsidRPr="00F70509">
        <w:rPr>
          <w:rFonts w:ascii="仿宋_GB2312" w:hAnsi="宋体" w:cs="宋体" w:hint="eastAsia"/>
          <w:szCs w:val="32"/>
        </w:rPr>
        <w:t>为充分发挥破产审判职能，完善市场主体救治和退出机制，最大限度释放破产审判的价值，规范破产审判流程，提升破产审判质效，强化破产审判管理</w:t>
      </w:r>
      <w:r w:rsidRPr="00F70509">
        <w:rPr>
          <w:rFonts w:ascii="仿宋_GB2312" w:hAnsi="Liberation Serif" w:cs="Liberation Serif" w:hint="eastAsia"/>
          <w:szCs w:val="32"/>
        </w:rPr>
        <w:t>，依据《中华人民共和国企业破产法》及相关规定，结合青岛市破产审判实际，制定本指引。</w:t>
      </w:r>
    </w:p>
    <w:p w:rsidR="00F70509" w:rsidRPr="00F70509" w:rsidRDefault="00F70509" w:rsidP="00F70509">
      <w:pPr>
        <w:widowControl/>
        <w:snapToGrid w:val="0"/>
        <w:spacing w:line="560" w:lineRule="exact"/>
        <w:ind w:firstLineChars="196" w:firstLine="622"/>
        <w:contextualSpacing/>
        <w:rPr>
          <w:rFonts w:ascii="仿宋_GB2312" w:hAnsi="Arial" w:cs="Arial"/>
          <w:szCs w:val="32"/>
        </w:rPr>
      </w:pPr>
      <w:r w:rsidRPr="00F70509">
        <w:rPr>
          <w:rFonts w:ascii="仿宋_GB2312" w:hAnsi="Liberation Serif" w:cs="Liberation Serif" w:hint="eastAsia"/>
          <w:b/>
          <w:szCs w:val="32"/>
        </w:rPr>
        <w:t>第一条【审慎及例外适用原则】</w:t>
      </w:r>
      <w:r w:rsidRPr="00F70509">
        <w:rPr>
          <w:rFonts w:ascii="仿宋_GB2312" w:hAnsi="Liberation Serif" w:cs="Liberation Serif" w:hint="eastAsia"/>
          <w:szCs w:val="32"/>
        </w:rPr>
        <w:t>人民法院在审理企业破产案件时，应以单独判断关联企业成员的破产原因，适用单个破产程序为基本原则，审慎适用关联企业实质合并破产方式，尊重企业法人人格的独立性。</w:t>
      </w:r>
    </w:p>
    <w:p w:rsidR="00F70509" w:rsidRPr="00F70509" w:rsidRDefault="00F70509" w:rsidP="00F70509">
      <w:pPr>
        <w:widowControl/>
        <w:snapToGrid w:val="0"/>
        <w:spacing w:line="560" w:lineRule="exact"/>
        <w:ind w:firstLineChars="200" w:firstLine="632"/>
        <w:contextualSpacing/>
        <w:jc w:val="left"/>
        <w:rPr>
          <w:rFonts w:ascii="仿宋_GB2312" w:hAnsi="Arial" w:cs="Arial"/>
          <w:szCs w:val="32"/>
        </w:rPr>
      </w:pPr>
      <w:r w:rsidRPr="00F70509">
        <w:rPr>
          <w:rFonts w:ascii="仿宋_GB2312" w:hAnsi="Liberation Serif" w:cs="Liberation Serif" w:hint="eastAsia"/>
          <w:szCs w:val="32"/>
        </w:rPr>
        <w:t xml:space="preserve">当关联企业满足本指引第五条之规定时，可例外适用关联企业实质合并破产方式进行审理。 </w:t>
      </w:r>
    </w:p>
    <w:p w:rsidR="00F70509" w:rsidRPr="00F70509" w:rsidRDefault="00F70509" w:rsidP="00F70509">
      <w:pPr>
        <w:widowControl/>
        <w:snapToGrid w:val="0"/>
        <w:spacing w:line="560" w:lineRule="exact"/>
        <w:ind w:firstLineChars="196" w:firstLine="622"/>
        <w:contextualSpacing/>
        <w:rPr>
          <w:rFonts w:ascii="仿宋_GB2312" w:hAnsi="Liberation Serif" w:cs="Liberation Serif"/>
          <w:b/>
          <w:szCs w:val="32"/>
        </w:rPr>
      </w:pPr>
      <w:r w:rsidRPr="00F70509">
        <w:rPr>
          <w:rFonts w:ascii="仿宋_GB2312" w:hAnsi="Liberation Serif" w:cs="Liberation Serif" w:hint="eastAsia"/>
          <w:b/>
          <w:szCs w:val="32"/>
        </w:rPr>
        <w:t>第二条【实质合并审理的管辖】</w:t>
      </w:r>
      <w:r w:rsidRPr="00F70509">
        <w:rPr>
          <w:rFonts w:ascii="仿宋_GB2312" w:hAnsi="Liberation Serif" w:cs="Liberation Serif" w:hint="eastAsia"/>
          <w:szCs w:val="32"/>
        </w:rPr>
        <w:t>关联企业实质合并破产案件，由核心控制企业住所地人民法院管辖。核心控制企业不明确的，由主要财产所在地人民法院管辖。</w:t>
      </w:r>
    </w:p>
    <w:p w:rsidR="00F70509" w:rsidRPr="00F70509" w:rsidRDefault="00F70509" w:rsidP="00F70509">
      <w:pPr>
        <w:widowControl/>
        <w:snapToGrid w:val="0"/>
        <w:spacing w:line="560" w:lineRule="exact"/>
        <w:ind w:firstLineChars="200" w:firstLine="632"/>
        <w:contextualSpacing/>
        <w:jc w:val="left"/>
        <w:rPr>
          <w:rFonts w:ascii="仿宋_GB2312" w:hAnsi="Liberation Serif" w:cs="Liberation Serif"/>
          <w:b/>
          <w:szCs w:val="32"/>
        </w:rPr>
      </w:pPr>
      <w:r w:rsidRPr="00F70509">
        <w:rPr>
          <w:rFonts w:ascii="仿宋_GB2312" w:hAnsi="Liberation Serif" w:cs="Liberation Serif" w:hint="eastAsia"/>
          <w:szCs w:val="32"/>
        </w:rPr>
        <w:t>青岛市辖区内各基层人民法院之间对关联企业实质合并审理案件的管辖权发生争议的，应当报请青岛市中级人民法院指定管辖。</w:t>
      </w:r>
    </w:p>
    <w:p w:rsidR="00F70509" w:rsidRPr="00F70509" w:rsidRDefault="00F70509" w:rsidP="00F70509">
      <w:pPr>
        <w:widowControl/>
        <w:snapToGrid w:val="0"/>
        <w:spacing w:line="560" w:lineRule="exact"/>
        <w:ind w:firstLineChars="196" w:firstLine="622"/>
        <w:contextualSpacing/>
        <w:jc w:val="left"/>
        <w:rPr>
          <w:rFonts w:ascii="仿宋_GB2312" w:hAnsi="Liberation Serif" w:cs="Liberation Serif"/>
          <w:b/>
          <w:szCs w:val="32"/>
        </w:rPr>
      </w:pPr>
      <w:r w:rsidRPr="00F70509">
        <w:rPr>
          <w:rFonts w:ascii="仿宋_GB2312" w:hAnsi="Liberation Serif" w:cs="Liberation Serif" w:hint="eastAsia"/>
          <w:b/>
          <w:szCs w:val="32"/>
        </w:rPr>
        <w:t>第三条【实质合并破产程序申请主体及审查】</w:t>
      </w:r>
      <w:r w:rsidRPr="00F70509">
        <w:rPr>
          <w:rFonts w:ascii="仿宋_GB2312" w:hAnsi="Liberation Serif" w:cs="Liberation Serif" w:hint="eastAsia"/>
          <w:szCs w:val="32"/>
        </w:rPr>
        <w:t>关联企业成员、关联企业成员的债权人、关联企业成员的清算义务人、已经进入</w:t>
      </w:r>
      <w:r w:rsidRPr="00F70509">
        <w:rPr>
          <w:rFonts w:ascii="仿宋_GB2312" w:hAnsi="Liberation Serif" w:cs="Liberation Serif" w:hint="eastAsia"/>
          <w:szCs w:val="32"/>
        </w:rPr>
        <w:lastRenderedPageBreak/>
        <w:t>破产程序的关联企业成员的管理人可以向人民法院提出对关联企业进行合并破产的申请。</w:t>
      </w:r>
    </w:p>
    <w:p w:rsidR="00F70509" w:rsidRPr="00F70509" w:rsidRDefault="00F70509" w:rsidP="00F70509">
      <w:pPr>
        <w:widowControl/>
        <w:snapToGrid w:val="0"/>
        <w:spacing w:line="560" w:lineRule="exact"/>
        <w:ind w:firstLineChars="200" w:firstLine="632"/>
        <w:contextualSpacing/>
        <w:jc w:val="left"/>
        <w:rPr>
          <w:rFonts w:ascii="仿宋_GB2312" w:hAnsi="Arial" w:cs="Arial"/>
          <w:szCs w:val="32"/>
        </w:rPr>
      </w:pPr>
      <w:r w:rsidRPr="00F70509">
        <w:rPr>
          <w:rFonts w:ascii="仿宋_GB2312" w:hAnsi="Liberation Serif" w:cs="Liberation Serif" w:hint="eastAsia"/>
          <w:szCs w:val="32"/>
        </w:rPr>
        <w:t>申请关联企业合并破产的，申请人应提交证据证明关联企业合并破产的必要性、正当性，未提交证据或提交证据显然不充分的，人民法院应当裁定驳回实质合并申请。</w:t>
      </w:r>
    </w:p>
    <w:p w:rsidR="00F70509" w:rsidRPr="00F70509" w:rsidRDefault="00F70509" w:rsidP="00F70509">
      <w:pPr>
        <w:widowControl/>
        <w:snapToGrid w:val="0"/>
        <w:spacing w:line="560" w:lineRule="exact"/>
        <w:ind w:firstLineChars="196" w:firstLine="622"/>
        <w:contextualSpacing/>
        <w:jc w:val="left"/>
        <w:rPr>
          <w:rFonts w:ascii="仿宋_GB2312" w:hAnsi="Arial" w:cs="Arial"/>
          <w:szCs w:val="32"/>
        </w:rPr>
      </w:pPr>
      <w:r w:rsidRPr="00F70509">
        <w:rPr>
          <w:rFonts w:ascii="仿宋_GB2312" w:hAnsi="Liberation Serif" w:cs="Liberation Serif" w:hint="eastAsia"/>
          <w:b/>
          <w:szCs w:val="32"/>
        </w:rPr>
        <w:t>第四条【合并破产听证程序】</w:t>
      </w:r>
      <w:r w:rsidRPr="00F70509">
        <w:rPr>
          <w:rFonts w:ascii="仿宋_GB2312" w:hAnsi="Liberation Serif" w:cs="Liberation Serif" w:hint="eastAsia"/>
          <w:szCs w:val="32"/>
        </w:rPr>
        <w:t>人民法院收到实质合并申请后，应当组织听证。</w:t>
      </w:r>
    </w:p>
    <w:p w:rsidR="00F70509" w:rsidRPr="00F70509" w:rsidRDefault="00F70509" w:rsidP="00F70509">
      <w:pPr>
        <w:widowControl/>
        <w:snapToGrid w:val="0"/>
        <w:spacing w:line="560" w:lineRule="exact"/>
        <w:ind w:firstLineChars="200" w:firstLine="632"/>
        <w:contextualSpacing/>
        <w:jc w:val="left"/>
        <w:rPr>
          <w:rFonts w:ascii="仿宋_GB2312" w:hAnsi="Liberation Serif" w:cs="Liberation Serif"/>
          <w:szCs w:val="32"/>
        </w:rPr>
      </w:pPr>
      <w:r w:rsidRPr="00F70509">
        <w:rPr>
          <w:rFonts w:ascii="仿宋_GB2312" w:hAnsi="Liberation Serif" w:cs="Liberation Serif" w:hint="eastAsia"/>
          <w:szCs w:val="32"/>
        </w:rPr>
        <w:t>人民法院应当于听证会召开五日前发布听证公告，并书面通知合并破产申请人及与破产案件处理有利害关系的其他当事人参会。</w:t>
      </w:r>
    </w:p>
    <w:p w:rsidR="00F70509" w:rsidRPr="00F70509" w:rsidRDefault="00F70509" w:rsidP="00F70509">
      <w:pPr>
        <w:widowControl/>
        <w:snapToGrid w:val="0"/>
        <w:spacing w:line="560" w:lineRule="exact"/>
        <w:ind w:firstLineChars="200" w:firstLine="632"/>
        <w:contextualSpacing/>
        <w:jc w:val="left"/>
        <w:rPr>
          <w:rFonts w:ascii="仿宋_GB2312" w:hAnsi="Liberation Serif" w:cs="Liberation Serif"/>
          <w:szCs w:val="32"/>
        </w:rPr>
      </w:pPr>
      <w:r w:rsidRPr="00F70509">
        <w:rPr>
          <w:rFonts w:ascii="仿宋_GB2312" w:hAnsi="Liberation Serif" w:cs="Liberation Serif" w:hint="eastAsia"/>
          <w:szCs w:val="32"/>
        </w:rPr>
        <w:t>听证会应当由受理实质合并申请的人民法院组成合议庭主持，可以采用线</w:t>
      </w:r>
      <w:proofErr w:type="gramStart"/>
      <w:r w:rsidRPr="00F70509">
        <w:rPr>
          <w:rFonts w:ascii="仿宋_GB2312" w:hAnsi="Liberation Serif" w:cs="Liberation Serif" w:hint="eastAsia"/>
          <w:szCs w:val="32"/>
        </w:rPr>
        <w:t>上方式</w:t>
      </w:r>
      <w:proofErr w:type="gramEnd"/>
      <w:r w:rsidRPr="00F70509">
        <w:rPr>
          <w:rFonts w:ascii="仿宋_GB2312" w:hAnsi="Liberation Serif" w:cs="Liberation Serif" w:hint="eastAsia"/>
          <w:szCs w:val="32"/>
        </w:rPr>
        <w:t>开展。</w:t>
      </w:r>
    </w:p>
    <w:p w:rsidR="00F70509" w:rsidRPr="00F70509" w:rsidRDefault="00F70509" w:rsidP="00F70509">
      <w:pPr>
        <w:widowControl/>
        <w:snapToGrid w:val="0"/>
        <w:spacing w:line="560" w:lineRule="exact"/>
        <w:ind w:firstLineChars="196" w:firstLine="622"/>
        <w:contextualSpacing/>
        <w:jc w:val="left"/>
        <w:rPr>
          <w:rFonts w:ascii="仿宋_GB2312" w:hAnsi="Arial" w:cs="Arial"/>
          <w:szCs w:val="32"/>
        </w:rPr>
      </w:pPr>
      <w:r w:rsidRPr="00F70509">
        <w:rPr>
          <w:rFonts w:ascii="仿宋_GB2312" w:hAnsi="Liberation Serif" w:cs="Liberation Serif" w:hint="eastAsia"/>
          <w:b/>
          <w:szCs w:val="32"/>
        </w:rPr>
        <w:t>第五条【实质合并审查的要件及相关因素】</w:t>
      </w:r>
    </w:p>
    <w:p w:rsidR="00F70509" w:rsidRPr="00F70509" w:rsidRDefault="00F70509" w:rsidP="00F70509">
      <w:pPr>
        <w:widowControl/>
        <w:snapToGrid w:val="0"/>
        <w:spacing w:line="560" w:lineRule="exact"/>
        <w:ind w:firstLineChars="200" w:firstLine="632"/>
        <w:contextualSpacing/>
        <w:jc w:val="left"/>
        <w:rPr>
          <w:rFonts w:ascii="仿宋_GB2312" w:hAnsi="Arial" w:cs="Arial"/>
          <w:szCs w:val="32"/>
        </w:rPr>
      </w:pPr>
      <w:r w:rsidRPr="00F70509">
        <w:rPr>
          <w:rFonts w:ascii="仿宋_GB2312" w:hAnsi="宋体" w:cs="宋体" w:hint="eastAsia"/>
          <w:szCs w:val="32"/>
        </w:rPr>
        <w:t>企业法人存在以下情形时，人民法院可以裁定关联企业实质合并破产:</w:t>
      </w:r>
    </w:p>
    <w:p w:rsidR="00F70509" w:rsidRPr="00F70509" w:rsidRDefault="00F70509" w:rsidP="00F70509">
      <w:pPr>
        <w:widowControl/>
        <w:snapToGrid w:val="0"/>
        <w:spacing w:line="560" w:lineRule="exact"/>
        <w:ind w:firstLineChars="200" w:firstLine="632"/>
        <w:contextualSpacing/>
        <w:jc w:val="left"/>
        <w:rPr>
          <w:rFonts w:ascii="仿宋_GB2312" w:hAnsi="Arial" w:cs="Arial"/>
          <w:szCs w:val="32"/>
        </w:rPr>
      </w:pPr>
      <w:r w:rsidRPr="00F70509">
        <w:rPr>
          <w:rFonts w:ascii="仿宋_GB2312" w:hAnsi="宋体" w:cs="宋体" w:hint="eastAsia"/>
          <w:szCs w:val="32"/>
        </w:rPr>
        <w:t>(</w:t>
      </w:r>
      <w:proofErr w:type="gramStart"/>
      <w:r w:rsidRPr="00F70509">
        <w:rPr>
          <w:rFonts w:ascii="仿宋_GB2312" w:hAnsi="宋体" w:cs="宋体" w:hint="eastAsia"/>
          <w:szCs w:val="32"/>
        </w:rPr>
        <w:t>一</w:t>
      </w:r>
      <w:proofErr w:type="gramEnd"/>
      <w:r w:rsidRPr="00F70509">
        <w:rPr>
          <w:rFonts w:ascii="仿宋_GB2312" w:hAnsi="宋体" w:cs="宋体" w:hint="eastAsia"/>
          <w:szCs w:val="32"/>
        </w:rPr>
        <w:t>)与其他关联企业之间法人人格高度混同;</w:t>
      </w:r>
    </w:p>
    <w:p w:rsidR="00F70509" w:rsidRPr="00F70509" w:rsidRDefault="00F70509" w:rsidP="00F70509">
      <w:pPr>
        <w:widowControl/>
        <w:snapToGrid w:val="0"/>
        <w:spacing w:line="560" w:lineRule="exact"/>
        <w:ind w:firstLineChars="200" w:firstLine="632"/>
        <w:contextualSpacing/>
        <w:jc w:val="left"/>
        <w:rPr>
          <w:rFonts w:ascii="仿宋_GB2312" w:hAnsi="Arial" w:cs="Arial"/>
          <w:szCs w:val="32"/>
        </w:rPr>
      </w:pPr>
      <w:r w:rsidRPr="00F70509">
        <w:rPr>
          <w:rFonts w:ascii="仿宋_GB2312" w:hAnsi="宋体" w:cs="宋体" w:hint="eastAsia"/>
          <w:szCs w:val="32"/>
        </w:rPr>
        <w:t>(二)区分各关联企业成员财产的成本过高;</w:t>
      </w:r>
    </w:p>
    <w:p w:rsidR="00F70509" w:rsidRPr="00F70509" w:rsidRDefault="00F70509" w:rsidP="00F70509">
      <w:pPr>
        <w:widowControl/>
        <w:snapToGrid w:val="0"/>
        <w:spacing w:line="560" w:lineRule="exact"/>
        <w:ind w:firstLineChars="200" w:firstLine="632"/>
        <w:contextualSpacing/>
        <w:jc w:val="left"/>
        <w:rPr>
          <w:rFonts w:ascii="仿宋_GB2312" w:hAnsi="宋体" w:cs="宋体"/>
          <w:szCs w:val="32"/>
        </w:rPr>
      </w:pPr>
      <w:r w:rsidRPr="00F70509">
        <w:rPr>
          <w:rFonts w:ascii="仿宋_GB2312" w:hAnsi="宋体" w:cs="宋体" w:hint="eastAsia"/>
          <w:szCs w:val="32"/>
        </w:rPr>
        <w:t>(三)严重损害债权人公平清偿利益。</w:t>
      </w:r>
    </w:p>
    <w:p w:rsidR="00F70509" w:rsidRPr="00F70509" w:rsidRDefault="00F70509" w:rsidP="00F70509">
      <w:pPr>
        <w:widowControl/>
        <w:snapToGrid w:val="0"/>
        <w:spacing w:line="560" w:lineRule="exact"/>
        <w:ind w:firstLineChars="200" w:firstLine="632"/>
        <w:contextualSpacing/>
        <w:jc w:val="left"/>
        <w:rPr>
          <w:rFonts w:ascii="仿宋_GB2312" w:hAnsi="Arial" w:cs="Arial"/>
          <w:szCs w:val="32"/>
        </w:rPr>
      </w:pPr>
      <w:r w:rsidRPr="00F70509">
        <w:rPr>
          <w:rFonts w:ascii="仿宋_GB2312" w:hAnsi="Liberation Serif" w:cs="Liberation Serif" w:hint="eastAsia"/>
          <w:szCs w:val="32"/>
        </w:rPr>
        <w:t>在审查实质合并申请过程中，除考虑上述要件外，还可以综合考虑关联企业之间资产的混同程度及其持续时间、各企业之间的利益关系、债权人整体清偿利益、增加企业重整的可能性等因素。</w:t>
      </w:r>
    </w:p>
    <w:p w:rsidR="00F70509" w:rsidRPr="00F70509" w:rsidRDefault="00F70509" w:rsidP="00F70509">
      <w:pPr>
        <w:widowControl/>
        <w:snapToGrid w:val="0"/>
        <w:spacing w:line="560" w:lineRule="exact"/>
        <w:ind w:firstLineChars="196" w:firstLine="622"/>
        <w:contextualSpacing/>
        <w:jc w:val="left"/>
        <w:rPr>
          <w:rFonts w:ascii="仿宋_GB2312" w:hAnsi="Liberation Serif" w:cs="Liberation Serif"/>
          <w:szCs w:val="32"/>
        </w:rPr>
      </w:pPr>
      <w:r w:rsidRPr="00F70509">
        <w:rPr>
          <w:rFonts w:ascii="仿宋_GB2312" w:hAnsi="Liberation Serif" w:cs="Liberation Serif" w:hint="eastAsia"/>
          <w:b/>
          <w:szCs w:val="32"/>
        </w:rPr>
        <w:lastRenderedPageBreak/>
        <w:t>第六条【按撤回申请处理的情形】</w:t>
      </w:r>
      <w:r w:rsidRPr="00F70509">
        <w:rPr>
          <w:rFonts w:ascii="仿宋_GB2312" w:hAnsi="Liberation Serif" w:cs="Liberation Serif" w:hint="eastAsia"/>
          <w:szCs w:val="32"/>
        </w:rPr>
        <w:t>申请人无正当理由拒不参加听证的，按撤回申请处理。</w:t>
      </w:r>
    </w:p>
    <w:p w:rsidR="00F70509" w:rsidRPr="00F70509" w:rsidRDefault="00F70509" w:rsidP="00F70509">
      <w:pPr>
        <w:widowControl/>
        <w:snapToGrid w:val="0"/>
        <w:spacing w:line="560" w:lineRule="exact"/>
        <w:ind w:firstLineChars="196" w:firstLine="622"/>
        <w:contextualSpacing/>
        <w:jc w:val="left"/>
        <w:rPr>
          <w:rFonts w:ascii="仿宋_GB2312" w:hAnsi="Liberation Serif" w:cs="Liberation Serif"/>
          <w:b/>
          <w:szCs w:val="32"/>
        </w:rPr>
      </w:pPr>
      <w:r w:rsidRPr="00F70509">
        <w:rPr>
          <w:rFonts w:ascii="仿宋_GB2312" w:hAnsi="Liberation Serif" w:cs="Liberation Serif" w:hint="eastAsia"/>
          <w:b/>
          <w:szCs w:val="32"/>
        </w:rPr>
        <w:t>第七条【审查期限】</w:t>
      </w:r>
      <w:r w:rsidRPr="00F70509">
        <w:rPr>
          <w:rFonts w:ascii="仿宋_GB2312" w:hAnsi="Liberation Serif" w:cs="Liberation Serif" w:hint="eastAsia"/>
          <w:szCs w:val="32"/>
        </w:rPr>
        <w:t>人民法院应在收到申请之日起三十日内</w:t>
      </w:r>
      <w:proofErr w:type="gramStart"/>
      <w:r w:rsidRPr="00F70509">
        <w:rPr>
          <w:rFonts w:ascii="仿宋_GB2312" w:hAnsi="Liberation Serif" w:cs="Liberation Serif" w:hint="eastAsia"/>
          <w:szCs w:val="32"/>
        </w:rPr>
        <w:t>作出</w:t>
      </w:r>
      <w:proofErr w:type="gramEnd"/>
      <w:r w:rsidRPr="00F70509">
        <w:rPr>
          <w:rFonts w:ascii="仿宋_GB2312" w:hAnsi="Liberation Serif" w:cs="Liberation Serif" w:hint="eastAsia"/>
          <w:szCs w:val="32"/>
        </w:rPr>
        <w:t>是否实质合并审理的裁定。</w:t>
      </w:r>
    </w:p>
    <w:p w:rsidR="00F70509" w:rsidRPr="00F70509" w:rsidRDefault="00F70509" w:rsidP="00F70509">
      <w:pPr>
        <w:widowControl/>
        <w:snapToGrid w:val="0"/>
        <w:spacing w:line="560" w:lineRule="exact"/>
        <w:ind w:firstLineChars="196" w:firstLine="622"/>
        <w:contextualSpacing/>
        <w:jc w:val="left"/>
        <w:rPr>
          <w:rFonts w:ascii="仿宋_GB2312" w:hAnsi="Arial" w:cs="Arial"/>
          <w:szCs w:val="32"/>
        </w:rPr>
      </w:pPr>
      <w:r w:rsidRPr="00F70509">
        <w:rPr>
          <w:rFonts w:ascii="仿宋_GB2312" w:hAnsi="Liberation Serif" w:cs="Liberation Serif" w:hint="eastAsia"/>
          <w:b/>
          <w:szCs w:val="32"/>
        </w:rPr>
        <w:t>第八条【裁定实质合并时利害关系人的权利救济】</w:t>
      </w:r>
      <w:r w:rsidRPr="00F70509">
        <w:rPr>
          <w:rFonts w:ascii="仿宋_GB2312" w:hAnsi="Liberation Serif" w:cs="Liberation Serif" w:hint="eastAsia"/>
          <w:szCs w:val="32"/>
        </w:rPr>
        <w:t>相关利害关系人对受理法院</w:t>
      </w:r>
      <w:proofErr w:type="gramStart"/>
      <w:r w:rsidRPr="00F70509">
        <w:rPr>
          <w:rFonts w:ascii="仿宋_GB2312" w:hAnsi="Liberation Serif" w:cs="Liberation Serif" w:hint="eastAsia"/>
          <w:szCs w:val="32"/>
        </w:rPr>
        <w:t>作出</w:t>
      </w:r>
      <w:proofErr w:type="gramEnd"/>
      <w:r w:rsidRPr="00F70509">
        <w:rPr>
          <w:rFonts w:ascii="仿宋_GB2312" w:hAnsi="Liberation Serif" w:cs="Liberation Serif" w:hint="eastAsia"/>
          <w:szCs w:val="32"/>
        </w:rPr>
        <w:t>的实质合并审理裁定不服的，可以自裁定书送达之日起十五日内向受理法院的上一级人民法院申请复议。</w:t>
      </w:r>
    </w:p>
    <w:p w:rsidR="00F70509" w:rsidRPr="00F70509" w:rsidRDefault="00F70509" w:rsidP="00F70509">
      <w:pPr>
        <w:widowControl/>
        <w:snapToGrid w:val="0"/>
        <w:spacing w:line="560" w:lineRule="exact"/>
        <w:ind w:firstLineChars="196" w:firstLine="622"/>
        <w:contextualSpacing/>
        <w:jc w:val="left"/>
        <w:rPr>
          <w:rFonts w:ascii="仿宋_GB2312" w:hAnsi="Arial" w:cs="Arial"/>
          <w:szCs w:val="32"/>
        </w:rPr>
      </w:pPr>
      <w:r w:rsidRPr="00F70509">
        <w:rPr>
          <w:rFonts w:ascii="仿宋_GB2312" w:hAnsi="Liberation Serif" w:cs="Liberation Serif" w:hint="eastAsia"/>
          <w:b/>
          <w:szCs w:val="32"/>
        </w:rPr>
        <w:t>第九条【实质合并案件管理人的指定】</w:t>
      </w:r>
      <w:r w:rsidRPr="00F70509">
        <w:rPr>
          <w:rFonts w:ascii="仿宋_GB2312" w:hAnsi="宋体" w:cs="宋体" w:hint="eastAsia"/>
          <w:szCs w:val="32"/>
        </w:rPr>
        <w:t>关联企业成员之一先行进入破产程序的，该成员企业的管理人应当继续被指定为关联企业合并破产程序的管理人，管理人明确表示不愿继续接受指定或表示无力担当放弃指定的，人民法院可依法另行指定管理人。</w:t>
      </w:r>
    </w:p>
    <w:p w:rsidR="00F70509" w:rsidRPr="00F70509" w:rsidRDefault="00F70509" w:rsidP="00F70509">
      <w:pPr>
        <w:widowControl/>
        <w:snapToGrid w:val="0"/>
        <w:spacing w:line="560" w:lineRule="exact"/>
        <w:ind w:firstLineChars="200" w:firstLine="632"/>
        <w:contextualSpacing/>
        <w:jc w:val="left"/>
        <w:rPr>
          <w:rFonts w:ascii="仿宋_GB2312" w:hAnsi="Arial" w:cs="Arial"/>
          <w:color w:val="000000"/>
          <w:szCs w:val="32"/>
        </w:rPr>
      </w:pPr>
      <w:r w:rsidRPr="00F70509">
        <w:rPr>
          <w:rFonts w:ascii="仿宋_GB2312" w:hAnsi="宋体" w:cs="宋体" w:hint="eastAsia"/>
          <w:szCs w:val="32"/>
        </w:rPr>
        <w:t>关联企业中已有多家成员企业分别进入破产程序、已指定多个管</w:t>
      </w:r>
      <w:r w:rsidRPr="00F70509">
        <w:rPr>
          <w:rFonts w:ascii="仿宋_GB2312" w:hAnsi="宋体" w:cs="宋体" w:hint="eastAsia"/>
          <w:color w:val="000000"/>
          <w:szCs w:val="32"/>
        </w:rPr>
        <w:t>理人的，可以采取由原已被指定的各管理人为合并破产案件的联合管理人,并由人民法院决定其负责人以及管理事务的分工方案。</w:t>
      </w:r>
    </w:p>
    <w:p w:rsidR="00F70509" w:rsidRPr="00F70509" w:rsidRDefault="00F70509" w:rsidP="00F70509">
      <w:pPr>
        <w:widowControl/>
        <w:snapToGrid w:val="0"/>
        <w:spacing w:line="560" w:lineRule="exact"/>
        <w:ind w:firstLineChars="196" w:firstLine="622"/>
        <w:contextualSpacing/>
        <w:jc w:val="left"/>
        <w:rPr>
          <w:rFonts w:ascii="仿宋_GB2312" w:hAnsi="Liberation Serif" w:cs="Liberation Serif"/>
          <w:szCs w:val="32"/>
        </w:rPr>
      </w:pPr>
      <w:r w:rsidRPr="00F70509">
        <w:rPr>
          <w:rFonts w:ascii="仿宋_GB2312" w:hAnsi="Liberation Serif" w:cs="Liberation Serif" w:hint="eastAsia"/>
          <w:b/>
          <w:szCs w:val="32"/>
        </w:rPr>
        <w:t>第十条【实质合并审理的法律后果】</w:t>
      </w:r>
      <w:r w:rsidRPr="00F70509">
        <w:rPr>
          <w:rFonts w:ascii="仿宋_GB2312" w:hAnsi="Liberation Serif" w:cs="Liberation Serif" w:hint="eastAsia"/>
          <w:szCs w:val="32"/>
        </w:rPr>
        <w:t>人民法院裁定采用实质合并方式审理破产案件的，各关联企业成员之间的债权债务归于消灭，各成员的财产作为合并后统一的破产财产，由各成员的债权人在同一程序中按照法定顺序公平受偿。</w:t>
      </w:r>
    </w:p>
    <w:p w:rsidR="00F70509" w:rsidRPr="00F70509" w:rsidRDefault="00F70509" w:rsidP="00F70509">
      <w:pPr>
        <w:widowControl/>
        <w:snapToGrid w:val="0"/>
        <w:spacing w:line="560" w:lineRule="exact"/>
        <w:ind w:firstLineChars="196" w:firstLine="619"/>
        <w:contextualSpacing/>
        <w:jc w:val="left"/>
        <w:rPr>
          <w:rFonts w:ascii="仿宋_GB2312" w:hAnsi="Arial" w:cs="Arial"/>
          <w:szCs w:val="32"/>
        </w:rPr>
      </w:pPr>
      <w:r w:rsidRPr="00F70509">
        <w:rPr>
          <w:rFonts w:ascii="仿宋_GB2312" w:hAnsi="Liberation Serif" w:cs="Liberation Serif" w:hint="eastAsia"/>
          <w:szCs w:val="32"/>
        </w:rPr>
        <w:t>采用实质合并方式进行重整的，重整计划草案中应当制定统一的债权分类、债权调整和债权受偿方案。</w:t>
      </w:r>
    </w:p>
    <w:p w:rsidR="00F70509" w:rsidRPr="00F70509" w:rsidRDefault="00F70509" w:rsidP="00F70509">
      <w:pPr>
        <w:widowControl/>
        <w:snapToGrid w:val="0"/>
        <w:spacing w:line="560" w:lineRule="exact"/>
        <w:ind w:firstLineChars="200" w:firstLine="632"/>
        <w:contextualSpacing/>
        <w:jc w:val="left"/>
        <w:rPr>
          <w:rFonts w:ascii="仿宋_GB2312" w:hAnsi="Liberation Serif" w:cs="Liberation Serif"/>
          <w:szCs w:val="32"/>
        </w:rPr>
      </w:pPr>
      <w:r w:rsidRPr="00F70509">
        <w:rPr>
          <w:rFonts w:ascii="仿宋_GB2312" w:hAnsi="Liberation Serif" w:cs="Liberation Serif" w:hint="eastAsia"/>
          <w:szCs w:val="32"/>
        </w:rPr>
        <w:lastRenderedPageBreak/>
        <w:t>适用实质合并规则进行破产清算的，破产程序终结后各关联企业成员均应予以注销。</w:t>
      </w:r>
    </w:p>
    <w:p w:rsidR="00F70509" w:rsidRPr="00F70509" w:rsidRDefault="00F70509" w:rsidP="00F70509">
      <w:pPr>
        <w:widowControl/>
        <w:snapToGrid w:val="0"/>
        <w:spacing w:line="560" w:lineRule="exact"/>
        <w:ind w:firstLineChars="200" w:firstLine="632"/>
        <w:contextualSpacing/>
        <w:jc w:val="left"/>
        <w:rPr>
          <w:rFonts w:ascii="仿宋_GB2312" w:hAnsi="Arial" w:cs="Arial"/>
          <w:szCs w:val="32"/>
        </w:rPr>
      </w:pPr>
      <w:r w:rsidRPr="00F70509">
        <w:rPr>
          <w:rFonts w:ascii="仿宋_GB2312" w:hAnsi="Liberation Serif" w:cs="Liberation Serif" w:hint="eastAsia"/>
          <w:szCs w:val="32"/>
        </w:rPr>
        <w:t>适用实质合并规则进行和解或重整的，各关联企业原则上应当合并为一个企业。根据和解协议或重整计划，确有需要保持个别企业独立的，应当依照企业分立 的有关规则单独处理。</w:t>
      </w:r>
    </w:p>
    <w:p w:rsidR="00F70509" w:rsidRPr="00F70509" w:rsidRDefault="00F70509" w:rsidP="00F70509">
      <w:pPr>
        <w:widowControl/>
        <w:snapToGrid w:val="0"/>
        <w:spacing w:line="560" w:lineRule="exact"/>
        <w:ind w:firstLineChars="200" w:firstLine="634"/>
        <w:contextualSpacing/>
        <w:jc w:val="left"/>
        <w:rPr>
          <w:rFonts w:ascii="仿宋_GB2312" w:hAnsi="Arial" w:cs="Arial"/>
          <w:szCs w:val="32"/>
        </w:rPr>
      </w:pPr>
      <w:r w:rsidRPr="00F70509">
        <w:rPr>
          <w:rFonts w:ascii="仿宋_GB2312" w:hAnsi="宋体" w:cs="宋体"/>
          <w:b/>
          <w:szCs w:val="32"/>
        </w:rPr>
        <w:t>第十一条</w:t>
      </w:r>
      <w:r w:rsidRPr="00F70509">
        <w:rPr>
          <w:rFonts w:ascii="仿宋_GB2312" w:hAnsi="Arial" w:cs="Arial" w:hint="eastAsia"/>
          <w:szCs w:val="32"/>
        </w:rPr>
        <w:t xml:space="preserve"> 【</w:t>
      </w:r>
      <w:r w:rsidRPr="00F70509">
        <w:rPr>
          <w:rFonts w:ascii="仿宋_GB2312" w:hAnsi="宋体" w:cs="宋体" w:hint="eastAsia"/>
          <w:b/>
          <w:szCs w:val="32"/>
        </w:rPr>
        <w:t>协调审理】</w:t>
      </w:r>
      <w:r w:rsidRPr="00F70509">
        <w:rPr>
          <w:rFonts w:ascii="仿宋_GB2312" w:hAnsi="Liberation Serif" w:cs="Liberation Serif" w:hint="eastAsia"/>
          <w:szCs w:val="32"/>
        </w:rPr>
        <w:t>多个关联企业成员均存在破产原因但不符合实质合并条件的，人民法院可根据相关主体的申请对多个破产程序进行协调审理，并可根据程序协调的需要，综合考虑破产案件审理的效率、破产申请的先后顺序、成员负债规模大小、核心控制企业住所地等因素，由共同的上级法院确定一家法院集中管辖。</w:t>
      </w:r>
    </w:p>
    <w:p w:rsidR="00F70509" w:rsidRPr="00F70509" w:rsidRDefault="00F70509" w:rsidP="00F70509">
      <w:pPr>
        <w:widowControl/>
        <w:snapToGrid w:val="0"/>
        <w:spacing w:line="560" w:lineRule="exact"/>
        <w:ind w:firstLineChars="200" w:firstLine="632"/>
        <w:contextualSpacing/>
        <w:jc w:val="left"/>
        <w:rPr>
          <w:rFonts w:ascii="仿宋_GB2312" w:hAnsi="Arial" w:cs="Arial"/>
          <w:szCs w:val="32"/>
        </w:rPr>
      </w:pPr>
      <w:r w:rsidRPr="00F70509">
        <w:rPr>
          <w:rFonts w:ascii="仿宋_GB2312" w:hAnsi="Liberation Serif" w:cs="Liberation Serif" w:hint="eastAsia"/>
          <w:szCs w:val="32"/>
        </w:rPr>
        <w:t>协调审理不消灭关联企业成员之间的债权债务关系，不对关联企业成员的财产进行合并，各关联企业成员的债权人仍以该企业成员财产为限依法获得清偿。但关联企业成员之间不当利用关联关系形成的债权，应当劣后于其他普通债权顺序清偿，</w:t>
      </w:r>
      <w:proofErr w:type="gramStart"/>
      <w:r w:rsidRPr="00F70509">
        <w:rPr>
          <w:rFonts w:ascii="仿宋_GB2312" w:hAnsi="Liberation Serif" w:cs="Liberation Serif" w:hint="eastAsia"/>
          <w:szCs w:val="32"/>
        </w:rPr>
        <w:t>且该劣后</w:t>
      </w:r>
      <w:proofErr w:type="gramEnd"/>
      <w:r w:rsidRPr="00F70509">
        <w:rPr>
          <w:rFonts w:ascii="仿宋_GB2312" w:hAnsi="Liberation Serif" w:cs="Liberation Serif" w:hint="eastAsia"/>
          <w:szCs w:val="32"/>
        </w:rPr>
        <w:t>债权人不得就其他关联企业成员提供的特定财产优先受偿。</w:t>
      </w:r>
    </w:p>
    <w:p w:rsidR="00F70509" w:rsidRPr="00F70509" w:rsidRDefault="00F70509" w:rsidP="00F70509">
      <w:pPr>
        <w:widowControl/>
        <w:snapToGrid w:val="0"/>
        <w:spacing w:line="560" w:lineRule="exact"/>
        <w:ind w:firstLineChars="200" w:firstLine="634"/>
        <w:contextualSpacing/>
        <w:jc w:val="left"/>
        <w:rPr>
          <w:rFonts w:ascii="仿宋_GB2312" w:hAnsi="Arial" w:cs="Arial"/>
          <w:szCs w:val="32"/>
        </w:rPr>
      </w:pPr>
      <w:r w:rsidRPr="00F70509">
        <w:rPr>
          <w:rFonts w:ascii="仿宋_GB2312" w:hAnsi="Arial" w:cs="Arial" w:hint="eastAsia"/>
          <w:b/>
          <w:szCs w:val="32"/>
        </w:rPr>
        <w:t>第十二条 【适用范围】</w:t>
      </w:r>
      <w:r w:rsidRPr="00F70509">
        <w:rPr>
          <w:rFonts w:ascii="仿宋_GB2312" w:hAnsi="Arial" w:cs="Arial" w:hint="eastAsia"/>
          <w:szCs w:val="32"/>
        </w:rPr>
        <w:t>本指引适用于青岛市中级人民法院及青岛辖区各基层人民法院。</w:t>
      </w:r>
    </w:p>
    <w:p w:rsidR="00F70509" w:rsidRPr="00F70509" w:rsidRDefault="00F70509" w:rsidP="00F70509">
      <w:pPr>
        <w:widowControl/>
        <w:snapToGrid w:val="0"/>
        <w:spacing w:line="560" w:lineRule="exact"/>
        <w:ind w:firstLineChars="200" w:firstLine="634"/>
        <w:contextualSpacing/>
        <w:jc w:val="left"/>
        <w:rPr>
          <w:rFonts w:ascii="仿宋_GB2312" w:hAnsi="Arial" w:cs="Arial"/>
          <w:szCs w:val="32"/>
        </w:rPr>
      </w:pPr>
      <w:r w:rsidRPr="00F70509">
        <w:rPr>
          <w:rFonts w:ascii="仿宋_GB2312" w:hAnsi="Arial" w:cs="Arial" w:hint="eastAsia"/>
          <w:b/>
          <w:szCs w:val="32"/>
        </w:rPr>
        <w:t>第十三条【实施时间】</w:t>
      </w:r>
      <w:r w:rsidRPr="00F70509">
        <w:rPr>
          <w:rFonts w:ascii="仿宋_GB2312" w:hAnsi="Arial" w:cs="Arial" w:hint="eastAsia"/>
          <w:szCs w:val="32"/>
        </w:rPr>
        <w:t xml:space="preserve"> 本指引自颁布之日起实施。</w:t>
      </w: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left"/>
        <w:rPr>
          <w:rFonts w:ascii="仿宋" w:eastAsia="仿宋" w:hAnsi="仿宋" w:cs="仿宋"/>
          <w:szCs w:val="32"/>
        </w:rPr>
      </w:pPr>
      <w:r>
        <w:rPr>
          <w:rFonts w:ascii="仿宋" w:eastAsia="仿宋" w:hAnsi="仿宋" w:cs="仿宋" w:hint="eastAsia"/>
          <w:szCs w:val="32"/>
        </w:rPr>
        <w:lastRenderedPageBreak/>
        <w:t>（此页无正文）</w:t>
      </w: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p w:rsidR="00F70509" w:rsidRDefault="00F70509" w:rsidP="00F70509">
      <w:pPr>
        <w:snapToGrid w:val="0"/>
        <w:spacing w:line="560" w:lineRule="exact"/>
        <w:contextualSpacing/>
        <w:jc w:val="distribute"/>
        <w:rPr>
          <w:rFonts w:ascii="仿宋" w:eastAsia="仿宋" w:hAnsi="仿宋" w:cs="仿宋"/>
          <w:szCs w:val="32"/>
        </w:rPr>
      </w:pPr>
    </w:p>
    <w:tbl>
      <w:tblPr>
        <w:tblpPr w:leftFromText="180" w:rightFromText="180" w:vertAnchor="text" w:horzAnchor="margin" w:tblpY="229"/>
        <w:tblW w:w="0" w:type="auto"/>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tblPr>
      <w:tblGrid>
        <w:gridCol w:w="9060"/>
      </w:tblGrid>
      <w:tr w:rsidR="00F70509" w:rsidRPr="00F70509" w:rsidTr="00F70509">
        <w:tc>
          <w:tcPr>
            <w:tcW w:w="9060" w:type="dxa"/>
          </w:tcPr>
          <w:p w:rsidR="00F70509" w:rsidRPr="00F70509" w:rsidRDefault="00F70509" w:rsidP="00F70509">
            <w:pPr>
              <w:snapToGrid w:val="0"/>
              <w:spacing w:line="560" w:lineRule="exact"/>
              <w:ind w:firstLineChars="50" w:firstLine="138"/>
              <w:contextualSpacing/>
              <w:rPr>
                <w:rFonts w:ascii="仿宋_GB2312" w:hAnsi="仿宋" w:cs="仿宋"/>
                <w:sz w:val="28"/>
                <w:szCs w:val="28"/>
              </w:rPr>
            </w:pPr>
            <w:r w:rsidRPr="00F70509">
              <w:rPr>
                <w:rFonts w:ascii="仿宋_GB2312" w:hAnsi="仿宋" w:cs="仿宋" w:hint="eastAsia"/>
                <w:sz w:val="28"/>
                <w:szCs w:val="28"/>
              </w:rPr>
              <w:t xml:space="preserve">青岛市黄岛区人民法院             </w:t>
            </w:r>
            <w:r>
              <w:rPr>
                <w:rFonts w:ascii="仿宋_GB2312" w:hAnsi="仿宋" w:cs="仿宋" w:hint="eastAsia"/>
                <w:sz w:val="28"/>
                <w:szCs w:val="28"/>
              </w:rPr>
              <w:t xml:space="preserve">         </w:t>
            </w:r>
            <w:r w:rsidRPr="00F70509">
              <w:rPr>
                <w:rFonts w:ascii="仿宋_GB2312" w:hAnsi="仿宋" w:cs="仿宋" w:hint="eastAsia"/>
                <w:sz w:val="28"/>
                <w:szCs w:val="28"/>
              </w:rPr>
              <w:t>2021年11月2日印发</w:t>
            </w:r>
          </w:p>
        </w:tc>
      </w:tr>
    </w:tbl>
    <w:p w:rsidR="00F70509" w:rsidRPr="00F70509" w:rsidRDefault="00F70509" w:rsidP="00F70509">
      <w:pPr>
        <w:snapToGrid w:val="0"/>
        <w:spacing w:line="20" w:lineRule="exact"/>
        <w:contextualSpacing/>
        <w:rPr>
          <w:rFonts w:ascii="仿宋" w:eastAsia="仿宋" w:hAnsi="仿宋" w:cs="仿宋"/>
          <w:szCs w:val="32"/>
        </w:rPr>
      </w:pPr>
    </w:p>
    <w:sectPr w:rsidR="00F70509" w:rsidRPr="00F70509" w:rsidSect="00F70509">
      <w:footerReference w:type="even" r:id="rId7"/>
      <w:footerReference w:type="default" r:id="rId8"/>
      <w:pgSz w:w="11906" w:h="16838"/>
      <w:pgMar w:top="2098" w:right="1474" w:bottom="1985" w:left="1588" w:header="851" w:footer="1724" w:gutter="0"/>
      <w:cols w:space="720"/>
      <w:docGrid w:type="linesAndChars" w:linePitch="59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629" w:rsidRDefault="00AA3629" w:rsidP="00AA3629">
      <w:r>
        <w:separator/>
      </w:r>
    </w:p>
  </w:endnote>
  <w:endnote w:type="continuationSeparator" w:id="1">
    <w:p w:rsidR="00AA3629" w:rsidRDefault="00AA3629" w:rsidP="00AA3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Liberation Serif">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29" w:rsidRDefault="00252A2C">
    <w:pPr>
      <w:pStyle w:val="a6"/>
      <w:framePr w:wrap="around" w:vAnchor="text" w:hAnchor="margin" w:xAlign="outside" w:y="1"/>
      <w:ind w:firstLineChars="100" w:firstLine="280"/>
      <w:rPr>
        <w:rStyle w:val="a8"/>
        <w:rFonts w:ascii="宋体" w:eastAsia="宋体" w:hAnsi="宋体"/>
        <w:sz w:val="28"/>
      </w:rPr>
    </w:pPr>
    <w:r>
      <w:rPr>
        <w:rStyle w:val="a8"/>
        <w:rFonts w:ascii="宋体" w:eastAsia="宋体" w:hAnsi="宋体" w:hint="eastAsia"/>
        <w:sz w:val="28"/>
      </w:rPr>
      <w:t xml:space="preserve">— </w:t>
    </w:r>
    <w:r w:rsidR="00136207">
      <w:rPr>
        <w:rStyle w:val="a8"/>
        <w:rFonts w:ascii="宋体" w:eastAsia="宋体" w:hAnsi="宋体"/>
        <w:sz w:val="28"/>
      </w:rPr>
      <w:fldChar w:fldCharType="begin"/>
    </w:r>
    <w:r>
      <w:rPr>
        <w:rStyle w:val="a8"/>
        <w:rFonts w:ascii="宋体" w:eastAsia="宋体" w:hAnsi="宋体"/>
        <w:sz w:val="28"/>
      </w:rPr>
      <w:instrText xml:space="preserve">PAGE  </w:instrText>
    </w:r>
    <w:r w:rsidR="00136207">
      <w:rPr>
        <w:rStyle w:val="a8"/>
        <w:rFonts w:ascii="宋体" w:eastAsia="宋体" w:hAnsi="宋体"/>
        <w:sz w:val="28"/>
      </w:rPr>
      <w:fldChar w:fldCharType="separate"/>
    </w:r>
    <w:r>
      <w:rPr>
        <w:rStyle w:val="a8"/>
        <w:rFonts w:ascii="宋体" w:eastAsia="宋体" w:hAnsi="宋体"/>
        <w:sz w:val="28"/>
      </w:rPr>
      <w:t>1</w:t>
    </w:r>
    <w:r w:rsidR="00136207">
      <w:rPr>
        <w:rStyle w:val="a8"/>
        <w:rFonts w:ascii="宋体" w:eastAsia="宋体" w:hAnsi="宋体"/>
        <w:sz w:val="28"/>
      </w:rPr>
      <w:fldChar w:fldCharType="end"/>
    </w:r>
    <w:r>
      <w:rPr>
        <w:rStyle w:val="a8"/>
        <w:rFonts w:ascii="宋体" w:eastAsia="宋体" w:hAnsi="宋体" w:hint="eastAsia"/>
        <w:sz w:val="28"/>
      </w:rPr>
      <w:t xml:space="preserve"> —</w:t>
    </w:r>
  </w:p>
  <w:p w:rsidR="00AA3629" w:rsidRDefault="00AA3629">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29" w:rsidRDefault="00252A2C">
    <w:pPr>
      <w:pStyle w:val="a6"/>
      <w:framePr w:w="1251" w:wrap="around" w:vAnchor="text" w:hAnchor="page" w:x="9116" w:y="4"/>
      <w:rPr>
        <w:rStyle w:val="a8"/>
        <w:rFonts w:ascii="宋体" w:eastAsia="宋体" w:hAnsi="宋体"/>
        <w:sz w:val="28"/>
      </w:rPr>
    </w:pPr>
    <w:r>
      <w:rPr>
        <w:rStyle w:val="a8"/>
        <w:rFonts w:ascii="宋体" w:eastAsia="宋体" w:hAnsi="宋体" w:hint="eastAsia"/>
        <w:sz w:val="28"/>
      </w:rPr>
      <w:t xml:space="preserve">— </w:t>
    </w:r>
    <w:r w:rsidR="00136207">
      <w:rPr>
        <w:rStyle w:val="a8"/>
        <w:rFonts w:ascii="宋体" w:eastAsia="宋体" w:hAnsi="宋体"/>
        <w:sz w:val="28"/>
      </w:rPr>
      <w:fldChar w:fldCharType="begin"/>
    </w:r>
    <w:r>
      <w:rPr>
        <w:rStyle w:val="a8"/>
        <w:rFonts w:ascii="宋体" w:eastAsia="宋体" w:hAnsi="宋体"/>
        <w:sz w:val="28"/>
      </w:rPr>
      <w:instrText xml:space="preserve">PAGE  </w:instrText>
    </w:r>
    <w:r w:rsidR="00136207">
      <w:rPr>
        <w:rStyle w:val="a8"/>
        <w:rFonts w:ascii="宋体" w:eastAsia="宋体" w:hAnsi="宋体"/>
        <w:sz w:val="28"/>
      </w:rPr>
      <w:fldChar w:fldCharType="separate"/>
    </w:r>
    <w:r w:rsidR="00AE3847">
      <w:rPr>
        <w:rStyle w:val="a8"/>
        <w:rFonts w:ascii="宋体" w:eastAsia="宋体" w:hAnsi="宋体"/>
        <w:noProof/>
        <w:sz w:val="28"/>
      </w:rPr>
      <w:t>6</w:t>
    </w:r>
    <w:r w:rsidR="00136207">
      <w:rPr>
        <w:rStyle w:val="a8"/>
        <w:rFonts w:ascii="宋体" w:eastAsia="宋体" w:hAnsi="宋体"/>
        <w:sz w:val="28"/>
      </w:rPr>
      <w:fldChar w:fldCharType="end"/>
    </w:r>
    <w:r>
      <w:rPr>
        <w:rStyle w:val="a8"/>
        <w:rFonts w:ascii="宋体" w:eastAsia="宋体" w:hAnsi="宋体" w:hint="eastAsia"/>
        <w:sz w:val="28"/>
      </w:rPr>
      <w:t xml:space="preserve"> —</w:t>
    </w:r>
  </w:p>
  <w:p w:rsidR="00AA3629" w:rsidRDefault="00AA3629">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629" w:rsidRDefault="00AA3629" w:rsidP="00AA3629">
      <w:r>
        <w:separator/>
      </w:r>
    </w:p>
  </w:footnote>
  <w:footnote w:type="continuationSeparator" w:id="1">
    <w:p w:rsidR="00AA3629" w:rsidRDefault="00AA3629" w:rsidP="00AA36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0"/>
  <w:drawingGridVerticalSpacing w:val="29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3629"/>
    <w:rsid w:val="00090605"/>
    <w:rsid w:val="00136207"/>
    <w:rsid w:val="00252A2C"/>
    <w:rsid w:val="003472E5"/>
    <w:rsid w:val="003818A0"/>
    <w:rsid w:val="004D1599"/>
    <w:rsid w:val="00AA3629"/>
    <w:rsid w:val="00AE3847"/>
    <w:rsid w:val="00ED193A"/>
    <w:rsid w:val="00F705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rules v:ext="edit">
        <o:r id="V:Rule2" type="connector" idref="#Straight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629"/>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A3629"/>
    <w:pPr>
      <w:spacing w:after="120"/>
    </w:pPr>
    <w:rPr>
      <w:kern w:val="2"/>
    </w:rPr>
  </w:style>
  <w:style w:type="paragraph" w:styleId="a4">
    <w:name w:val="Date"/>
    <w:basedOn w:val="a"/>
    <w:next w:val="a"/>
    <w:link w:val="Char0"/>
    <w:uiPriority w:val="99"/>
    <w:semiHidden/>
    <w:unhideWhenUsed/>
    <w:rsid w:val="00AA3629"/>
    <w:pPr>
      <w:ind w:leftChars="2500" w:left="100"/>
    </w:pPr>
  </w:style>
  <w:style w:type="paragraph" w:styleId="a5">
    <w:name w:val="Balloon Text"/>
    <w:basedOn w:val="a"/>
    <w:link w:val="Char1"/>
    <w:uiPriority w:val="99"/>
    <w:semiHidden/>
    <w:unhideWhenUsed/>
    <w:rsid w:val="00AA3629"/>
    <w:rPr>
      <w:sz w:val="18"/>
      <w:szCs w:val="18"/>
    </w:rPr>
  </w:style>
  <w:style w:type="paragraph" w:styleId="a6">
    <w:name w:val="footer"/>
    <w:basedOn w:val="a"/>
    <w:link w:val="Char2"/>
    <w:rsid w:val="00AA3629"/>
    <w:pPr>
      <w:tabs>
        <w:tab w:val="center" w:pos="4153"/>
        <w:tab w:val="right" w:pos="8306"/>
      </w:tabs>
      <w:snapToGrid w:val="0"/>
      <w:jc w:val="left"/>
    </w:pPr>
    <w:rPr>
      <w:sz w:val="18"/>
      <w:szCs w:val="18"/>
    </w:rPr>
  </w:style>
  <w:style w:type="paragraph" w:styleId="a7">
    <w:name w:val="header"/>
    <w:basedOn w:val="a"/>
    <w:link w:val="Char3"/>
    <w:uiPriority w:val="99"/>
    <w:unhideWhenUsed/>
    <w:rsid w:val="00AA3629"/>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AA3629"/>
  </w:style>
  <w:style w:type="character" w:customStyle="1" w:styleId="Char2">
    <w:name w:val="页脚 Char"/>
    <w:link w:val="a6"/>
    <w:rsid w:val="00AA3629"/>
    <w:rPr>
      <w:rFonts w:ascii="Times New Roman" w:eastAsia="仿宋_GB2312" w:hAnsi="Times New Roman" w:cs="Times New Roman"/>
      <w:kern w:val="0"/>
      <w:sz w:val="18"/>
      <w:szCs w:val="18"/>
    </w:rPr>
  </w:style>
  <w:style w:type="character" w:customStyle="1" w:styleId="Char3">
    <w:name w:val="页眉 Char"/>
    <w:link w:val="a7"/>
    <w:uiPriority w:val="99"/>
    <w:rsid w:val="00AA3629"/>
    <w:rPr>
      <w:rFonts w:ascii="Times New Roman" w:eastAsia="仿宋_GB2312" w:hAnsi="Times New Roman" w:cs="Times New Roman"/>
      <w:kern w:val="0"/>
      <w:sz w:val="18"/>
      <w:szCs w:val="18"/>
    </w:rPr>
  </w:style>
  <w:style w:type="character" w:customStyle="1" w:styleId="Char0">
    <w:name w:val="日期 Char"/>
    <w:link w:val="a4"/>
    <w:uiPriority w:val="99"/>
    <w:semiHidden/>
    <w:rsid w:val="00AA3629"/>
    <w:rPr>
      <w:rFonts w:ascii="Times New Roman" w:eastAsia="仿宋_GB2312" w:hAnsi="Times New Roman" w:cs="Times New Roman"/>
      <w:kern w:val="0"/>
      <w:sz w:val="32"/>
      <w:szCs w:val="24"/>
    </w:rPr>
  </w:style>
  <w:style w:type="character" w:customStyle="1" w:styleId="Char1">
    <w:name w:val="批注框文本 Char"/>
    <w:link w:val="a5"/>
    <w:uiPriority w:val="99"/>
    <w:semiHidden/>
    <w:rsid w:val="00AA3629"/>
    <w:rPr>
      <w:rFonts w:ascii="Times New Roman" w:eastAsia="仿宋_GB2312" w:hAnsi="Times New Roman" w:cs="Times New Roman"/>
      <w:kern w:val="0"/>
      <w:sz w:val="18"/>
      <w:szCs w:val="18"/>
    </w:rPr>
  </w:style>
  <w:style w:type="character" w:customStyle="1" w:styleId="Char">
    <w:name w:val="正文文本 Char"/>
    <w:link w:val="a3"/>
    <w:rsid w:val="00AA3629"/>
    <w:rPr>
      <w:rFonts w:eastAsia="仿宋_GB2312"/>
      <w:kern w:val="2"/>
      <w:sz w:val="32"/>
      <w:szCs w:val="24"/>
    </w:rPr>
  </w:style>
  <w:style w:type="character" w:customStyle="1" w:styleId="Char10">
    <w:name w:val="正文文本 Char1"/>
    <w:semiHidden/>
    <w:rsid w:val="00AA3629"/>
    <w:rPr>
      <w:rFonts w:eastAsia="仿宋_GB2312"/>
      <w:sz w:val="32"/>
      <w:szCs w:val="24"/>
    </w:rPr>
  </w:style>
  <w:style w:type="table" w:styleId="a9">
    <w:name w:val="Table Grid"/>
    <w:basedOn w:val="a1"/>
    <w:uiPriority w:val="99"/>
    <w:unhideWhenUsed/>
    <w:rsid w:val="00F705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DE9D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321</Words>
  <Characters>1830</Characters>
  <Application>Microsoft Office Word</Application>
  <DocSecurity>0</DocSecurity>
  <Lines>15</Lines>
  <Paragraphs>4</Paragraphs>
  <ScaleCrop>false</ScaleCrop>
  <Company>Microsoft</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青岛市黄岛区人民法院文件</dc:title>
  <dc:creator>彭震</dc:creator>
  <cp:lastModifiedBy>刘书成</cp:lastModifiedBy>
  <cp:revision>8</cp:revision>
  <cp:lastPrinted>2021-11-02T02:30:00Z</cp:lastPrinted>
  <dcterms:created xsi:type="dcterms:W3CDTF">2020-07-29T04:15:00Z</dcterms:created>
  <dcterms:modified xsi:type="dcterms:W3CDTF">2021-11-02T02:57:00Z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