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5F" w:rsidRDefault="00034A06">
      <w:pPr>
        <w:pStyle w:val="a3"/>
        <w:spacing w:before="55"/>
        <w:ind w:left="226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 w:hint="eastAsia"/>
        </w:rPr>
        <w:t xml:space="preserve"> </w:t>
      </w:r>
      <w:r>
        <w:rPr>
          <w:rFonts w:ascii="黑体" w:eastAsia="黑体" w:hint="eastAsia"/>
          <w:lang w:val="en-US"/>
        </w:rPr>
        <w:t>3</w:t>
      </w:r>
    </w:p>
    <w:p w:rsidR="00881E5F" w:rsidRDefault="00034A06">
      <w:pPr>
        <w:pStyle w:val="a3"/>
        <w:spacing w:before="125" w:line="535" w:lineRule="exact"/>
        <w:ind w:right="342" w:firstLineChars="300" w:firstLine="960"/>
        <w:jc w:val="both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</w:rPr>
        <w:t>昌邑市人民法院</w:t>
      </w:r>
      <w:r>
        <w:rPr>
          <w:rFonts w:ascii="方正小标宋简体" w:eastAsia="方正小标宋简体" w:hint="eastAsia"/>
        </w:rPr>
        <w:t>转移支付（项目）绩效目标自评表</w:t>
      </w:r>
    </w:p>
    <w:p w:rsidR="00881E5F" w:rsidRDefault="00034A06">
      <w:pPr>
        <w:spacing w:after="23" w:line="238" w:lineRule="exact"/>
        <w:ind w:right="338"/>
        <w:jc w:val="center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（</w:t>
      </w:r>
      <w:r>
        <w:rPr>
          <w:rFonts w:ascii="宋体" w:eastAsia="宋体" w:hint="eastAsia"/>
          <w:sz w:val="21"/>
        </w:rPr>
        <w:t>20</w:t>
      </w:r>
      <w:r>
        <w:rPr>
          <w:rFonts w:ascii="宋体" w:eastAsia="宋体" w:hint="eastAsia"/>
          <w:sz w:val="21"/>
          <w:lang w:val="en-US"/>
        </w:rPr>
        <w:t>19</w:t>
      </w:r>
      <w:r>
        <w:rPr>
          <w:rFonts w:ascii="宋体" w:eastAsia="宋体" w:hint="eastAsia"/>
          <w:sz w:val="21"/>
        </w:rPr>
        <w:t xml:space="preserve"> </w:t>
      </w:r>
      <w:r>
        <w:rPr>
          <w:rFonts w:ascii="宋体" w:eastAsia="宋体" w:hint="eastAsia"/>
          <w:sz w:val="21"/>
        </w:rPr>
        <w:t>年度）</w:t>
      </w:r>
    </w:p>
    <w:tbl>
      <w:tblPr>
        <w:tblW w:w="9284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727"/>
        <w:gridCol w:w="669"/>
        <w:gridCol w:w="410"/>
        <w:gridCol w:w="1482"/>
        <w:gridCol w:w="1424"/>
        <w:gridCol w:w="1201"/>
        <w:gridCol w:w="1115"/>
        <w:gridCol w:w="1615"/>
      </w:tblGrid>
      <w:tr w:rsidR="00881E5F">
        <w:trPr>
          <w:trHeight w:val="240"/>
        </w:trPr>
        <w:tc>
          <w:tcPr>
            <w:tcW w:w="2037" w:type="dxa"/>
            <w:gridSpan w:val="3"/>
          </w:tcPr>
          <w:p w:rsidR="00881E5F" w:rsidRDefault="00034A06">
            <w:pPr>
              <w:pStyle w:val="TableParagraph"/>
              <w:spacing w:before="11" w:line="209" w:lineRule="exact"/>
              <w:ind w:left="118"/>
              <w:jc w:val="center"/>
              <w:rPr>
                <w:sz w:val="18"/>
              </w:rPr>
            </w:pPr>
            <w:r>
              <w:rPr>
                <w:sz w:val="18"/>
              </w:rPr>
              <w:t>转移支付（项目）名称</w:t>
            </w:r>
          </w:p>
        </w:tc>
        <w:tc>
          <w:tcPr>
            <w:tcW w:w="7247" w:type="dxa"/>
            <w:gridSpan w:val="6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转移支付</w:t>
            </w:r>
            <w:r>
              <w:rPr>
                <w:rFonts w:ascii="Times New Roman" w:hint="eastAsia"/>
                <w:sz w:val="16"/>
              </w:rPr>
              <w:t>资金</w:t>
            </w:r>
          </w:p>
        </w:tc>
      </w:tr>
      <w:tr w:rsidR="00881E5F">
        <w:trPr>
          <w:trHeight w:val="239"/>
        </w:trPr>
        <w:tc>
          <w:tcPr>
            <w:tcW w:w="2037" w:type="dxa"/>
            <w:gridSpan w:val="3"/>
          </w:tcPr>
          <w:p w:rsidR="00881E5F" w:rsidRDefault="00034A06">
            <w:pPr>
              <w:pStyle w:val="TableParagraph"/>
              <w:spacing w:before="11" w:line="208" w:lineRule="exact"/>
              <w:ind w:left="658"/>
              <w:jc w:val="center"/>
              <w:rPr>
                <w:sz w:val="18"/>
              </w:rPr>
            </w:pPr>
            <w:r>
              <w:rPr>
                <w:sz w:val="18"/>
              </w:rPr>
              <w:t>主管部门</w:t>
            </w:r>
          </w:p>
        </w:tc>
        <w:tc>
          <w:tcPr>
            <w:tcW w:w="3316" w:type="dxa"/>
            <w:gridSpan w:val="3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潍坊市中级人民法院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spacing w:before="11" w:line="208" w:lineRule="exact"/>
              <w:ind w:left="131" w:right="120"/>
              <w:jc w:val="center"/>
              <w:rPr>
                <w:sz w:val="18"/>
              </w:rPr>
            </w:pPr>
            <w:r>
              <w:rPr>
                <w:sz w:val="18"/>
              </w:rPr>
              <w:t>实施单位</w:t>
            </w:r>
          </w:p>
        </w:tc>
        <w:tc>
          <w:tcPr>
            <w:tcW w:w="2730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昌邑市人民法院</w:t>
            </w:r>
          </w:p>
        </w:tc>
      </w:tr>
      <w:tr w:rsidR="00881E5F">
        <w:trPr>
          <w:trHeight w:val="239"/>
        </w:trPr>
        <w:tc>
          <w:tcPr>
            <w:tcW w:w="2037" w:type="dxa"/>
            <w:gridSpan w:val="3"/>
            <w:vMerge w:val="restart"/>
          </w:tcPr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881E5F">
            <w:pPr>
              <w:pStyle w:val="TableParagraph"/>
              <w:jc w:val="center"/>
              <w:rPr>
                <w:sz w:val="16"/>
              </w:rPr>
            </w:pPr>
          </w:p>
          <w:p w:rsidR="00881E5F" w:rsidRDefault="00034A06">
            <w:pPr>
              <w:pStyle w:val="TableParagraph"/>
              <w:ind w:left="298"/>
              <w:jc w:val="center"/>
              <w:rPr>
                <w:sz w:val="18"/>
              </w:rPr>
            </w:pPr>
            <w:r>
              <w:rPr>
                <w:sz w:val="18"/>
              </w:rPr>
              <w:t>项目资金（万元）</w:t>
            </w:r>
          </w:p>
        </w:tc>
        <w:tc>
          <w:tcPr>
            <w:tcW w:w="1892" w:type="dxa"/>
            <w:gridSpan w:val="2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</w:tcPr>
          <w:p w:rsidR="00881E5F" w:rsidRDefault="00034A06">
            <w:pPr>
              <w:pStyle w:val="TableParagraph"/>
              <w:spacing w:before="11" w:line="208" w:lineRule="exact"/>
              <w:ind w:left="107"/>
              <w:jc w:val="center"/>
              <w:rPr>
                <w:sz w:val="18"/>
              </w:rPr>
            </w:pPr>
            <w:r>
              <w:rPr>
                <w:spacing w:val="-11"/>
                <w:sz w:val="18"/>
              </w:rPr>
              <w:t>全年预算数</w:t>
            </w:r>
            <w:r>
              <w:rPr>
                <w:spacing w:val="-4"/>
                <w:sz w:val="18"/>
              </w:rPr>
              <w:t>（</w:t>
            </w:r>
            <w:r>
              <w:rPr>
                <w:spacing w:val="-4"/>
                <w:sz w:val="18"/>
              </w:rPr>
              <w:t>A</w:t>
            </w:r>
            <w:r>
              <w:rPr>
                <w:spacing w:val="-4"/>
                <w:sz w:val="18"/>
              </w:rPr>
              <w:t>）</w:t>
            </w:r>
          </w:p>
        </w:tc>
        <w:tc>
          <w:tcPr>
            <w:tcW w:w="2316" w:type="dxa"/>
            <w:gridSpan w:val="2"/>
          </w:tcPr>
          <w:p w:rsidR="00881E5F" w:rsidRDefault="00034A06">
            <w:pPr>
              <w:pStyle w:val="TableParagraph"/>
              <w:spacing w:before="11" w:line="208" w:lineRule="exact"/>
              <w:ind w:left="483"/>
              <w:jc w:val="center"/>
              <w:rPr>
                <w:sz w:val="18"/>
              </w:rPr>
            </w:pPr>
            <w:r>
              <w:rPr>
                <w:sz w:val="18"/>
              </w:rPr>
              <w:t>全年执行数（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>）</w:t>
            </w:r>
          </w:p>
        </w:tc>
        <w:tc>
          <w:tcPr>
            <w:tcW w:w="1615" w:type="dxa"/>
          </w:tcPr>
          <w:p w:rsidR="00881E5F" w:rsidRDefault="00034A06">
            <w:pPr>
              <w:pStyle w:val="TableParagraph"/>
              <w:spacing w:before="11" w:line="208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预算执行率（</w:t>
            </w:r>
            <w:r>
              <w:rPr>
                <w:sz w:val="18"/>
              </w:rPr>
              <w:t>B/A)</w:t>
            </w:r>
          </w:p>
        </w:tc>
      </w:tr>
      <w:tr w:rsidR="00881E5F">
        <w:trPr>
          <w:trHeight w:val="268"/>
        </w:trPr>
        <w:tc>
          <w:tcPr>
            <w:tcW w:w="2037" w:type="dxa"/>
            <w:gridSpan w:val="3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</w:tcPr>
          <w:p w:rsidR="00881E5F" w:rsidRDefault="00034A06">
            <w:pPr>
              <w:pStyle w:val="TableParagraph"/>
              <w:spacing w:before="26" w:line="222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年度资金总额：</w:t>
            </w:r>
          </w:p>
        </w:tc>
        <w:tc>
          <w:tcPr>
            <w:tcW w:w="1424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550</w:t>
            </w:r>
            <w:r>
              <w:rPr>
                <w:rFonts w:ascii="Times New Roman" w:hint="eastAsia"/>
                <w:sz w:val="16"/>
                <w:lang w:val="en-US"/>
              </w:rPr>
              <w:t>万</w:t>
            </w:r>
          </w:p>
        </w:tc>
        <w:tc>
          <w:tcPr>
            <w:tcW w:w="231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464.05</w:t>
            </w:r>
            <w:r>
              <w:rPr>
                <w:rFonts w:ascii="Times New Roman" w:hint="eastAsia"/>
                <w:sz w:val="16"/>
                <w:lang w:val="en-US"/>
              </w:rPr>
              <w:t>万</w:t>
            </w:r>
          </w:p>
        </w:tc>
        <w:tc>
          <w:tcPr>
            <w:tcW w:w="16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84.37%</w:t>
            </w:r>
          </w:p>
        </w:tc>
      </w:tr>
      <w:tr w:rsidR="00881E5F">
        <w:trPr>
          <w:trHeight w:val="273"/>
        </w:trPr>
        <w:tc>
          <w:tcPr>
            <w:tcW w:w="2037" w:type="dxa"/>
            <w:gridSpan w:val="3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</w:tcPr>
          <w:p w:rsidR="00881E5F" w:rsidRDefault="00034A06">
            <w:pPr>
              <w:pStyle w:val="TableParagraph"/>
              <w:spacing w:before="27" w:line="226" w:lineRule="exact"/>
              <w:ind w:left="198"/>
              <w:jc w:val="center"/>
              <w:rPr>
                <w:sz w:val="18"/>
              </w:rPr>
            </w:pPr>
            <w:r>
              <w:rPr>
                <w:sz w:val="18"/>
              </w:rPr>
              <w:t>其中：中央、省资金</w:t>
            </w:r>
          </w:p>
        </w:tc>
        <w:tc>
          <w:tcPr>
            <w:tcW w:w="1424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550</w:t>
            </w:r>
            <w:r>
              <w:rPr>
                <w:rFonts w:ascii="Times New Roman" w:hint="eastAsia"/>
                <w:sz w:val="16"/>
                <w:lang w:val="en-US"/>
              </w:rPr>
              <w:t>万</w:t>
            </w:r>
          </w:p>
        </w:tc>
        <w:tc>
          <w:tcPr>
            <w:tcW w:w="2316" w:type="dxa"/>
            <w:gridSpan w:val="2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39"/>
        </w:trPr>
        <w:tc>
          <w:tcPr>
            <w:tcW w:w="2037" w:type="dxa"/>
            <w:gridSpan w:val="3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</w:tcPr>
          <w:p w:rsidR="00881E5F" w:rsidRDefault="00034A06">
            <w:pPr>
              <w:pStyle w:val="TableParagraph"/>
              <w:spacing w:before="11" w:line="208" w:lineRule="exact"/>
              <w:ind w:left="738"/>
              <w:jc w:val="center"/>
              <w:rPr>
                <w:sz w:val="18"/>
              </w:rPr>
            </w:pPr>
            <w:r>
              <w:rPr>
                <w:sz w:val="18"/>
              </w:rPr>
              <w:t>市级资金</w:t>
            </w:r>
          </w:p>
        </w:tc>
        <w:tc>
          <w:tcPr>
            <w:tcW w:w="1424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gridSpan w:val="2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40"/>
        </w:trPr>
        <w:tc>
          <w:tcPr>
            <w:tcW w:w="2037" w:type="dxa"/>
            <w:gridSpan w:val="3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</w:tcPr>
          <w:p w:rsidR="00881E5F" w:rsidRDefault="00034A06">
            <w:pPr>
              <w:pStyle w:val="TableParagraph"/>
              <w:spacing w:before="10" w:line="210" w:lineRule="exact"/>
              <w:ind w:left="738"/>
              <w:jc w:val="center"/>
              <w:rPr>
                <w:sz w:val="18"/>
              </w:rPr>
            </w:pPr>
            <w:r>
              <w:rPr>
                <w:sz w:val="18"/>
              </w:rPr>
              <w:t>县级资金</w:t>
            </w:r>
          </w:p>
        </w:tc>
        <w:tc>
          <w:tcPr>
            <w:tcW w:w="1424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gridSpan w:val="2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39"/>
        </w:trPr>
        <w:tc>
          <w:tcPr>
            <w:tcW w:w="2037" w:type="dxa"/>
            <w:gridSpan w:val="3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2" w:type="dxa"/>
            <w:gridSpan w:val="2"/>
          </w:tcPr>
          <w:p w:rsidR="00881E5F" w:rsidRDefault="00034A06">
            <w:pPr>
              <w:pStyle w:val="TableParagraph"/>
              <w:spacing w:before="10" w:line="209" w:lineRule="exact"/>
              <w:ind w:left="738"/>
              <w:jc w:val="center"/>
              <w:rPr>
                <w:sz w:val="18"/>
              </w:rPr>
            </w:pPr>
            <w:r>
              <w:rPr>
                <w:sz w:val="18"/>
              </w:rPr>
              <w:t>其他资金</w:t>
            </w:r>
          </w:p>
        </w:tc>
        <w:tc>
          <w:tcPr>
            <w:tcW w:w="1424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6" w:type="dxa"/>
            <w:gridSpan w:val="2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39"/>
        </w:trPr>
        <w:tc>
          <w:tcPr>
            <w:tcW w:w="641" w:type="dxa"/>
            <w:vMerge w:val="restart"/>
          </w:tcPr>
          <w:p w:rsidR="00881E5F" w:rsidRDefault="00034A06">
            <w:pPr>
              <w:pStyle w:val="TableParagraph"/>
              <w:spacing w:before="2" w:line="240" w:lineRule="atLeast"/>
              <w:ind w:left="137" w:right="131"/>
              <w:jc w:val="center"/>
              <w:rPr>
                <w:sz w:val="18"/>
              </w:rPr>
            </w:pPr>
            <w:r>
              <w:rPr>
                <w:sz w:val="18"/>
              </w:rPr>
              <w:t>年度总体目标</w:t>
            </w:r>
          </w:p>
        </w:tc>
        <w:tc>
          <w:tcPr>
            <w:tcW w:w="4712" w:type="dxa"/>
            <w:gridSpan w:val="5"/>
          </w:tcPr>
          <w:p w:rsidR="00881E5F" w:rsidRDefault="00034A06">
            <w:pPr>
              <w:pStyle w:val="TableParagraph"/>
              <w:spacing w:before="11" w:line="208" w:lineRule="exact"/>
              <w:ind w:left="1795" w:right="1787"/>
              <w:jc w:val="center"/>
              <w:rPr>
                <w:sz w:val="18"/>
              </w:rPr>
            </w:pPr>
            <w:r>
              <w:rPr>
                <w:sz w:val="18"/>
              </w:rPr>
              <w:t>年初设定目标</w:t>
            </w:r>
          </w:p>
        </w:tc>
        <w:tc>
          <w:tcPr>
            <w:tcW w:w="3931" w:type="dxa"/>
            <w:gridSpan w:val="3"/>
          </w:tcPr>
          <w:p w:rsidR="00881E5F" w:rsidRDefault="00034A06">
            <w:pPr>
              <w:pStyle w:val="TableParagraph"/>
              <w:spacing w:before="11" w:line="208" w:lineRule="exact"/>
              <w:ind w:left="1245"/>
              <w:jc w:val="center"/>
              <w:rPr>
                <w:sz w:val="18"/>
              </w:rPr>
            </w:pPr>
            <w:r>
              <w:rPr>
                <w:sz w:val="18"/>
              </w:rPr>
              <w:t>全年实际完成情况</w:t>
            </w:r>
          </w:p>
        </w:tc>
      </w:tr>
      <w:tr w:rsidR="00881E5F">
        <w:trPr>
          <w:trHeight w:val="470"/>
        </w:trPr>
        <w:tc>
          <w:tcPr>
            <w:tcW w:w="641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712" w:type="dxa"/>
            <w:gridSpan w:val="5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1.</w:t>
            </w:r>
            <w:r>
              <w:rPr>
                <w:rFonts w:ascii="Times New Roman" w:hint="eastAsia"/>
                <w:sz w:val="16"/>
              </w:rPr>
              <w:t>坚持党对人民法院工作的绝对领导，紧紧围绕“努力让人民群众在每一个司法案件中感受到公平正义”目标，坚持以人民为中心的发展思想，全面推进诉讼服务体系建设，全面提高审判管理精细化水平，切实履行好维护国家政治安全、确保社会大局稳定、促进社会公平正义、保障人民安居乐业的职责使命。</w:t>
            </w:r>
            <w:r>
              <w:rPr>
                <w:rFonts w:ascii="Times New Roman" w:hint="eastAsia"/>
                <w:sz w:val="16"/>
              </w:rPr>
              <w:t>2.</w:t>
            </w:r>
            <w:r>
              <w:rPr>
                <w:rFonts w:ascii="Times New Roman" w:hint="eastAsia"/>
                <w:sz w:val="16"/>
              </w:rPr>
              <w:t>转移支付资金使用效益持续提升。</w:t>
            </w:r>
            <w:r>
              <w:rPr>
                <w:rFonts w:ascii="Times New Roman" w:hint="eastAsia"/>
                <w:sz w:val="16"/>
              </w:rPr>
              <w:t>3.</w:t>
            </w:r>
            <w:r>
              <w:rPr>
                <w:rFonts w:ascii="Times New Roman" w:hint="eastAsia"/>
                <w:sz w:val="16"/>
              </w:rPr>
              <w:t>法院审判业务装备升级更新。对不能满足审判需要的业务装备</w:t>
            </w:r>
            <w:r>
              <w:rPr>
                <w:rFonts w:ascii="Times New Roman" w:hint="eastAsia"/>
                <w:sz w:val="16"/>
              </w:rPr>
              <w:t>,</w:t>
            </w:r>
            <w:r>
              <w:rPr>
                <w:rFonts w:ascii="Times New Roman" w:hint="eastAsia"/>
                <w:sz w:val="16"/>
              </w:rPr>
              <w:t>按照数量、技术性能要求等进行有计划的更新升级。</w:t>
            </w:r>
          </w:p>
        </w:tc>
        <w:tc>
          <w:tcPr>
            <w:tcW w:w="3931" w:type="dxa"/>
            <w:gridSpan w:val="3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2019</w:t>
            </w:r>
            <w:r>
              <w:rPr>
                <w:rFonts w:ascii="Times New Roman" w:hint="eastAsia"/>
                <w:sz w:val="16"/>
              </w:rPr>
              <w:t>年本院收案数量</w:t>
            </w:r>
            <w:r>
              <w:rPr>
                <w:rFonts w:ascii="Times New Roman" w:hint="eastAsia"/>
                <w:sz w:val="16"/>
              </w:rPr>
              <w:t>9378</w:t>
            </w:r>
            <w:r>
              <w:rPr>
                <w:rFonts w:ascii="Times New Roman" w:hint="eastAsia"/>
                <w:sz w:val="16"/>
              </w:rPr>
              <w:t>件，结案数量</w:t>
            </w:r>
            <w:r>
              <w:rPr>
                <w:rFonts w:ascii="Times New Roman" w:hint="eastAsia"/>
                <w:sz w:val="16"/>
              </w:rPr>
              <w:t>9501</w:t>
            </w:r>
            <w:r>
              <w:rPr>
                <w:rFonts w:ascii="Times New Roman" w:hint="eastAsia"/>
                <w:sz w:val="16"/>
              </w:rPr>
              <w:t>件</w:t>
            </w:r>
            <w:r>
              <w:rPr>
                <w:rFonts w:ascii="Times New Roman" w:hint="eastAsia"/>
                <w:sz w:val="16"/>
              </w:rPr>
              <w:t>，超额完成任务</w:t>
            </w:r>
            <w:r>
              <w:rPr>
                <w:rFonts w:ascii="Times New Roman" w:hint="eastAsia"/>
                <w:sz w:val="16"/>
              </w:rPr>
              <w:t>。</w:t>
            </w:r>
            <w:r>
              <w:rPr>
                <w:rFonts w:ascii="Times New Roman" w:hint="eastAsia"/>
                <w:sz w:val="16"/>
              </w:rPr>
              <w:t>2019</w:t>
            </w:r>
            <w:r>
              <w:rPr>
                <w:rFonts w:ascii="Times New Roman" w:hint="eastAsia"/>
                <w:sz w:val="16"/>
              </w:rPr>
              <w:t>年业务装备费目标额</w:t>
            </w:r>
            <w:r>
              <w:rPr>
                <w:rFonts w:ascii="Times New Roman" w:hint="eastAsia"/>
                <w:sz w:val="16"/>
              </w:rPr>
              <w:t>123.88</w:t>
            </w:r>
            <w:r>
              <w:rPr>
                <w:rFonts w:ascii="Times New Roman" w:hint="eastAsia"/>
                <w:sz w:val="16"/>
              </w:rPr>
              <w:t>万元，实际使用</w:t>
            </w:r>
            <w:r>
              <w:rPr>
                <w:rFonts w:ascii="Times New Roman" w:hint="eastAsia"/>
                <w:sz w:val="16"/>
              </w:rPr>
              <w:t>121.83</w:t>
            </w:r>
            <w:r>
              <w:rPr>
                <w:rFonts w:ascii="Times New Roman" w:hint="eastAsia"/>
                <w:sz w:val="16"/>
              </w:rPr>
              <w:t>万元。主要用于购买电子卷宗同步生成应用系统、跨城立案设备、编解码系统、门禁系统、电脑、扫描仪、打印机等办公设备及服务。</w:t>
            </w:r>
            <w:r>
              <w:rPr>
                <w:rFonts w:ascii="Times New Roman" w:hint="eastAsia"/>
                <w:sz w:val="16"/>
              </w:rPr>
              <w:t>良好的提高了审判管理精细化水平，维护社会公平正义；满足了审判业务装备的优化升级。</w:t>
            </w:r>
          </w:p>
        </w:tc>
      </w:tr>
      <w:tr w:rsidR="00881E5F">
        <w:trPr>
          <w:trHeight w:val="478"/>
        </w:trPr>
        <w:tc>
          <w:tcPr>
            <w:tcW w:w="641" w:type="dxa"/>
            <w:vMerge w:val="restart"/>
            <w:textDirection w:val="tbRl"/>
          </w:tcPr>
          <w:p w:rsidR="00881E5F" w:rsidRDefault="00034A06">
            <w:pPr>
              <w:pStyle w:val="TableParagraph"/>
              <w:spacing w:before="127"/>
              <w:ind w:left="3404" w:right="3415"/>
              <w:jc w:val="center"/>
              <w:rPr>
                <w:sz w:val="18"/>
              </w:rPr>
            </w:pPr>
            <w:r>
              <w:rPr>
                <w:sz w:val="18"/>
              </w:rPr>
              <w:t>绩效指标</w:t>
            </w:r>
          </w:p>
        </w:tc>
        <w:tc>
          <w:tcPr>
            <w:tcW w:w="727" w:type="dxa"/>
          </w:tcPr>
          <w:p w:rsidR="00881E5F" w:rsidRDefault="00034A06">
            <w:pPr>
              <w:pStyle w:val="TableParagraph"/>
              <w:spacing w:before="8"/>
              <w:ind w:left="180"/>
              <w:jc w:val="center"/>
              <w:rPr>
                <w:sz w:val="18"/>
              </w:rPr>
            </w:pPr>
            <w:r>
              <w:rPr>
                <w:sz w:val="18"/>
              </w:rPr>
              <w:t>一级</w:t>
            </w:r>
          </w:p>
          <w:p w:rsidR="00881E5F" w:rsidRDefault="00034A06">
            <w:pPr>
              <w:pStyle w:val="TableParagraph"/>
              <w:spacing w:before="9" w:line="210" w:lineRule="exact"/>
              <w:ind w:left="180"/>
              <w:jc w:val="center"/>
              <w:rPr>
                <w:sz w:val="18"/>
              </w:rPr>
            </w:pPr>
            <w:r>
              <w:rPr>
                <w:sz w:val="18"/>
              </w:rPr>
              <w:t>指标</w:t>
            </w:r>
          </w:p>
        </w:tc>
        <w:tc>
          <w:tcPr>
            <w:tcW w:w="1079" w:type="dxa"/>
            <w:gridSpan w:val="2"/>
          </w:tcPr>
          <w:p w:rsidR="00881E5F" w:rsidRDefault="00034A06">
            <w:pPr>
              <w:pStyle w:val="TableParagraph"/>
              <w:spacing w:before="128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二级指标</w:t>
            </w: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spacing w:before="128"/>
              <w:ind w:left="1072" w:right="1063"/>
              <w:jc w:val="center"/>
              <w:rPr>
                <w:sz w:val="18"/>
              </w:rPr>
            </w:pPr>
            <w:r>
              <w:rPr>
                <w:sz w:val="18"/>
              </w:rPr>
              <w:t>三级指标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spacing w:before="128"/>
              <w:ind w:left="131" w:right="120"/>
              <w:jc w:val="center"/>
              <w:rPr>
                <w:sz w:val="18"/>
              </w:rPr>
            </w:pPr>
            <w:r>
              <w:rPr>
                <w:sz w:val="18"/>
              </w:rPr>
              <w:t>年度指标值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spacing w:before="8"/>
              <w:ind w:left="178" w:right="167"/>
              <w:jc w:val="center"/>
              <w:rPr>
                <w:sz w:val="18"/>
              </w:rPr>
            </w:pPr>
            <w:r>
              <w:rPr>
                <w:sz w:val="18"/>
              </w:rPr>
              <w:t>全年完成</w:t>
            </w:r>
          </w:p>
          <w:p w:rsidR="00881E5F" w:rsidRDefault="00034A06">
            <w:pPr>
              <w:pStyle w:val="TableParagraph"/>
              <w:spacing w:before="9" w:line="210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值</w:t>
            </w:r>
          </w:p>
        </w:tc>
        <w:tc>
          <w:tcPr>
            <w:tcW w:w="1615" w:type="dxa"/>
          </w:tcPr>
          <w:p w:rsidR="00881E5F" w:rsidRDefault="00034A06">
            <w:pPr>
              <w:pStyle w:val="TableParagraph"/>
              <w:spacing w:before="8"/>
              <w:ind w:left="157" w:right="147"/>
              <w:jc w:val="center"/>
              <w:rPr>
                <w:sz w:val="18"/>
              </w:rPr>
            </w:pPr>
            <w:r>
              <w:rPr>
                <w:sz w:val="18"/>
              </w:rPr>
              <w:t>未完成原因和改</w:t>
            </w:r>
          </w:p>
          <w:p w:rsidR="00881E5F" w:rsidRDefault="00034A06">
            <w:pPr>
              <w:pStyle w:val="TableParagraph"/>
              <w:spacing w:before="9" w:line="210" w:lineRule="exact"/>
              <w:ind w:left="157" w:right="147"/>
              <w:jc w:val="center"/>
              <w:rPr>
                <w:sz w:val="18"/>
              </w:rPr>
            </w:pPr>
            <w:r>
              <w:rPr>
                <w:sz w:val="18"/>
              </w:rPr>
              <w:t>进措施</w:t>
            </w: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 w:val="restart"/>
          </w:tcPr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034A06">
            <w:pPr>
              <w:pStyle w:val="TableParagraph"/>
              <w:spacing w:before="150" w:line="249" w:lineRule="auto"/>
              <w:ind w:left="270" w:right="264"/>
              <w:jc w:val="center"/>
              <w:rPr>
                <w:sz w:val="18"/>
              </w:rPr>
            </w:pPr>
            <w:r>
              <w:rPr>
                <w:sz w:val="18"/>
              </w:rPr>
              <w:t>产出指标</w:t>
            </w:r>
          </w:p>
        </w:tc>
        <w:tc>
          <w:tcPr>
            <w:tcW w:w="1079" w:type="dxa"/>
            <w:gridSpan w:val="2"/>
            <w:vMerge w:val="restart"/>
          </w:tcPr>
          <w:p w:rsidR="00881E5F" w:rsidRDefault="00881E5F">
            <w:pPr>
              <w:pStyle w:val="TableParagraph"/>
              <w:spacing w:before="12"/>
              <w:jc w:val="center"/>
              <w:rPr>
                <w:sz w:val="18"/>
              </w:rPr>
            </w:pPr>
          </w:p>
          <w:p w:rsidR="00881E5F" w:rsidRDefault="00034A06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数量指标</w:t>
            </w: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支持市县法院数量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1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1</w:t>
            </w: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支持市县法院办理案件数量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9378</w:t>
            </w:r>
            <w:r>
              <w:rPr>
                <w:rFonts w:ascii="Times New Roman" w:hint="eastAsia"/>
                <w:sz w:val="16"/>
                <w:lang w:val="en-US"/>
              </w:rPr>
              <w:t>件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9501</w:t>
            </w:r>
            <w:r>
              <w:rPr>
                <w:rFonts w:ascii="Times New Roman" w:hint="eastAsia"/>
                <w:sz w:val="16"/>
                <w:lang w:val="en-US"/>
              </w:rPr>
              <w:t>件</w:t>
            </w: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8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支持市县法院购置业务装备数量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90</w:t>
            </w:r>
            <w:r>
              <w:rPr>
                <w:rFonts w:ascii="Times New Roman" w:hint="eastAsia"/>
                <w:sz w:val="16"/>
                <w:lang w:val="en-US"/>
              </w:rPr>
              <w:t>件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86</w:t>
            </w:r>
            <w:r>
              <w:rPr>
                <w:rFonts w:ascii="Times New Roman" w:hint="eastAsia"/>
                <w:sz w:val="16"/>
                <w:lang w:val="en-US"/>
              </w:rPr>
              <w:t>件</w:t>
            </w:r>
          </w:p>
        </w:tc>
        <w:tc>
          <w:tcPr>
            <w:tcW w:w="16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购买的装备已经满足了需求</w:t>
            </w: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 w:val="restart"/>
          </w:tcPr>
          <w:p w:rsidR="00881E5F" w:rsidRDefault="00881E5F">
            <w:pPr>
              <w:pStyle w:val="TableParagraph"/>
              <w:spacing w:before="12"/>
              <w:jc w:val="center"/>
              <w:rPr>
                <w:sz w:val="18"/>
              </w:rPr>
            </w:pPr>
          </w:p>
          <w:p w:rsidR="00881E5F" w:rsidRDefault="00034A06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质量指标</w:t>
            </w: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市县法院年度结案率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100%</w:t>
            </w:r>
          </w:p>
        </w:tc>
        <w:tc>
          <w:tcPr>
            <w:tcW w:w="1115" w:type="dxa"/>
            <w:vAlign w:val="center"/>
          </w:tcPr>
          <w:p w:rsidR="00881E5F" w:rsidRDefault="00034A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宋体" w:cs="宋体" w:hint="eastAsia"/>
                <w:sz w:val="16"/>
                <w:lang w:val="en-US"/>
              </w:rPr>
              <w:t>101.31%</w:t>
            </w: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市县法院购置业务装备合格率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100%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100%</w:t>
            </w: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8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市县法院有财产可供执行案件法定审限内执结率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52%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51.65%</w:t>
            </w:r>
          </w:p>
        </w:tc>
        <w:tc>
          <w:tcPr>
            <w:tcW w:w="16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</w:rPr>
              <w:t>执行案件难度大，全省执结率在</w:t>
            </w:r>
            <w:r>
              <w:rPr>
                <w:rFonts w:ascii="Times New Roman" w:hint="eastAsia"/>
                <w:sz w:val="16"/>
                <w:lang w:val="en-US"/>
              </w:rPr>
              <w:t>50%</w:t>
            </w:r>
            <w:r>
              <w:rPr>
                <w:rFonts w:ascii="Times New Roman" w:hint="eastAsia"/>
                <w:sz w:val="16"/>
                <w:lang w:val="en-US"/>
              </w:rPr>
              <w:t>左右，我院集中开展执行行动取得良好效果，但离目标还有一定的距离</w:t>
            </w: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 w:val="restart"/>
          </w:tcPr>
          <w:p w:rsidR="00881E5F" w:rsidRDefault="00881E5F">
            <w:pPr>
              <w:pStyle w:val="TableParagraph"/>
              <w:spacing w:before="12"/>
              <w:jc w:val="center"/>
              <w:rPr>
                <w:sz w:val="18"/>
              </w:rPr>
            </w:pPr>
          </w:p>
          <w:p w:rsidR="00881E5F" w:rsidRDefault="00034A06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时效指标</w:t>
            </w: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市县法院案件平均办案天数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90</w:t>
            </w:r>
          </w:p>
        </w:tc>
        <w:tc>
          <w:tcPr>
            <w:tcW w:w="1115" w:type="dxa"/>
            <w:vAlign w:val="center"/>
          </w:tcPr>
          <w:p w:rsidR="00881E5F" w:rsidRDefault="00034A0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宋体" w:cs="宋体" w:hint="eastAsia"/>
                <w:sz w:val="16"/>
                <w:lang w:val="en-US"/>
              </w:rPr>
              <w:t>66.25</w:t>
            </w: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采购业务装备及时率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100%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100%</w:t>
            </w: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8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</w:tcPr>
          <w:p w:rsidR="00881E5F" w:rsidRDefault="00881E5F">
            <w:pPr>
              <w:pStyle w:val="TableParagraph"/>
              <w:spacing w:before="12"/>
              <w:jc w:val="center"/>
              <w:rPr>
                <w:sz w:val="18"/>
              </w:rPr>
            </w:pPr>
          </w:p>
          <w:p w:rsidR="00881E5F" w:rsidRDefault="00034A06">
            <w:pPr>
              <w:pStyle w:val="TableParagraph"/>
              <w:ind w:left="178"/>
              <w:jc w:val="center"/>
              <w:rPr>
                <w:sz w:val="18"/>
              </w:rPr>
            </w:pPr>
            <w:r>
              <w:rPr>
                <w:sz w:val="18"/>
              </w:rPr>
              <w:t>成本指标</w:t>
            </w: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成本节约率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≤</w:t>
            </w:r>
            <w:r>
              <w:rPr>
                <w:rFonts w:ascii="Times New Roman" w:hint="eastAsia"/>
                <w:sz w:val="16"/>
              </w:rPr>
              <w:t>0%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  <w:lang w:val="en-US"/>
              </w:rPr>
              <w:t>100%</w:t>
            </w: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 w:val="restart"/>
          </w:tcPr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881E5F">
            <w:pPr>
              <w:pStyle w:val="TableParagraph"/>
              <w:jc w:val="center"/>
              <w:rPr>
                <w:sz w:val="18"/>
              </w:rPr>
            </w:pPr>
          </w:p>
          <w:p w:rsidR="00881E5F" w:rsidRDefault="00034A06">
            <w:pPr>
              <w:pStyle w:val="TableParagraph"/>
              <w:spacing w:before="151" w:line="249" w:lineRule="auto"/>
              <w:ind w:left="270" w:right="264"/>
              <w:jc w:val="center"/>
              <w:rPr>
                <w:sz w:val="18"/>
              </w:rPr>
            </w:pPr>
            <w:r>
              <w:rPr>
                <w:sz w:val="18"/>
              </w:rPr>
              <w:t>效益指标</w:t>
            </w:r>
          </w:p>
        </w:tc>
        <w:tc>
          <w:tcPr>
            <w:tcW w:w="1079" w:type="dxa"/>
            <w:gridSpan w:val="2"/>
            <w:vMerge w:val="restart"/>
          </w:tcPr>
          <w:p w:rsidR="00881E5F" w:rsidRDefault="00034A06">
            <w:pPr>
              <w:pStyle w:val="TableParagraph"/>
              <w:spacing w:before="122" w:line="249" w:lineRule="auto"/>
              <w:ind w:left="358" w:right="168" w:hanging="180"/>
              <w:jc w:val="center"/>
              <w:rPr>
                <w:sz w:val="18"/>
              </w:rPr>
            </w:pPr>
            <w:r>
              <w:rPr>
                <w:sz w:val="18"/>
              </w:rPr>
              <w:t>经济效益指标</w:t>
            </w:r>
          </w:p>
        </w:tc>
        <w:tc>
          <w:tcPr>
            <w:tcW w:w="2906" w:type="dxa"/>
            <w:gridSpan w:val="2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8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201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585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 w:val="restart"/>
          </w:tcPr>
          <w:p w:rsidR="00881E5F" w:rsidRDefault="00034A06">
            <w:pPr>
              <w:pStyle w:val="TableParagraph"/>
              <w:spacing w:before="122" w:line="249" w:lineRule="auto"/>
              <w:ind w:left="358" w:right="168" w:hanging="180"/>
              <w:jc w:val="center"/>
              <w:rPr>
                <w:sz w:val="18"/>
              </w:rPr>
            </w:pPr>
            <w:r>
              <w:rPr>
                <w:sz w:val="18"/>
              </w:rPr>
              <w:t>社会效益指标</w:t>
            </w: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市县法院办案水平和审判能力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100%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97%</w:t>
            </w:r>
          </w:p>
        </w:tc>
        <w:tc>
          <w:tcPr>
            <w:tcW w:w="1615" w:type="dxa"/>
            <w:vMerge w:val="restart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我院要进一步提高审判业务水平，</w:t>
            </w:r>
            <w:r>
              <w:rPr>
                <w:rFonts w:ascii="Times New Roman" w:hint="eastAsia"/>
                <w:sz w:val="16"/>
              </w:rPr>
              <w:t>全面推进诉讼服务体系建设，全面提高审判管理精细化水平，切实履行好维护国家政治安全、确保社会大局稳定、促进社会公平正义、保障人民安居乐业</w:t>
            </w:r>
          </w:p>
        </w:tc>
      </w:tr>
      <w:tr w:rsidR="00881E5F">
        <w:trPr>
          <w:trHeight w:val="459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维护社会公共安全和公平正义</w:t>
            </w:r>
          </w:p>
        </w:tc>
        <w:tc>
          <w:tcPr>
            <w:tcW w:w="1201" w:type="dxa"/>
            <w:vAlign w:val="center"/>
          </w:tcPr>
          <w:p w:rsidR="00881E5F" w:rsidRDefault="00034A06">
            <w:pPr>
              <w:widowControl/>
              <w:jc w:val="center"/>
              <w:textAlignment w:val="center"/>
              <w:rPr>
                <w:rFonts w:ascii="Times New Roman" w:eastAsia="宋体" w:hAnsi="宋体" w:cs="宋体"/>
                <w:sz w:val="16"/>
              </w:rPr>
            </w:pPr>
            <w:r>
              <w:rPr>
                <w:rFonts w:ascii="Times New Roman" w:eastAsia="宋体" w:hAnsi="宋体" w:cs="宋体" w:hint="eastAsia"/>
                <w:sz w:val="16"/>
                <w:lang w:val="en-US"/>
              </w:rPr>
              <w:t>100%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96%</w:t>
            </w:r>
          </w:p>
        </w:tc>
        <w:tc>
          <w:tcPr>
            <w:tcW w:w="1615" w:type="dxa"/>
            <w:vMerge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7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  <w:vMerge/>
            <w:tcBorders>
              <w:top w:val="nil"/>
            </w:tcBorders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2"/>
          </w:tcPr>
          <w:p w:rsidR="00881E5F" w:rsidRDefault="00034A06">
            <w:pPr>
              <w:pStyle w:val="TableParagraph"/>
              <w:spacing w:before="122" w:line="249" w:lineRule="auto"/>
              <w:ind w:left="268" w:right="168" w:hanging="90"/>
              <w:jc w:val="center"/>
              <w:rPr>
                <w:sz w:val="18"/>
              </w:rPr>
            </w:pPr>
            <w:r>
              <w:rPr>
                <w:sz w:val="18"/>
              </w:rPr>
              <w:t>可持续影响指标</w:t>
            </w: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维护社会公共安全和公平正义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有利于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完成</w:t>
            </w:r>
            <w:bookmarkStart w:id="0" w:name="_GoBack"/>
            <w:bookmarkEnd w:id="0"/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28"/>
        </w:trPr>
        <w:tc>
          <w:tcPr>
            <w:tcW w:w="641" w:type="dxa"/>
            <w:vMerge/>
            <w:tcBorders>
              <w:top w:val="nil"/>
            </w:tcBorders>
            <w:textDirection w:val="tbRl"/>
          </w:tcPr>
          <w:p w:rsidR="00881E5F" w:rsidRDefault="00881E5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:rsidR="00881E5F" w:rsidRDefault="00034A06">
            <w:pPr>
              <w:pStyle w:val="TableParagraph"/>
              <w:spacing w:before="123" w:line="249" w:lineRule="auto"/>
              <w:ind w:left="180" w:right="174"/>
              <w:jc w:val="center"/>
              <w:rPr>
                <w:sz w:val="18"/>
              </w:rPr>
            </w:pPr>
            <w:r>
              <w:rPr>
                <w:sz w:val="18"/>
              </w:rPr>
              <w:t>满意度指标</w:t>
            </w:r>
          </w:p>
        </w:tc>
        <w:tc>
          <w:tcPr>
            <w:tcW w:w="1079" w:type="dxa"/>
            <w:gridSpan w:val="2"/>
          </w:tcPr>
          <w:p w:rsidR="00881E5F" w:rsidRDefault="00034A06">
            <w:pPr>
              <w:pStyle w:val="TableParagraph"/>
              <w:spacing w:before="1" w:line="240" w:lineRule="atLeast"/>
              <w:ind w:left="178" w:right="168"/>
              <w:jc w:val="center"/>
              <w:rPr>
                <w:sz w:val="18"/>
              </w:rPr>
            </w:pPr>
            <w:r>
              <w:rPr>
                <w:sz w:val="18"/>
              </w:rPr>
              <w:t>服务对象满意度指标</w:t>
            </w:r>
          </w:p>
        </w:tc>
        <w:tc>
          <w:tcPr>
            <w:tcW w:w="2906" w:type="dxa"/>
            <w:gridSpan w:val="2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eastAsia"/>
                <w:sz w:val="16"/>
              </w:rPr>
              <w:t>社会公众满意度</w:t>
            </w:r>
          </w:p>
        </w:tc>
        <w:tc>
          <w:tcPr>
            <w:tcW w:w="1201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100%</w:t>
            </w:r>
          </w:p>
        </w:tc>
        <w:tc>
          <w:tcPr>
            <w:tcW w:w="1115" w:type="dxa"/>
          </w:tcPr>
          <w:p w:rsidR="00881E5F" w:rsidRDefault="00034A06">
            <w:pPr>
              <w:pStyle w:val="TableParagraph"/>
              <w:jc w:val="center"/>
              <w:rPr>
                <w:rFonts w:ascii="Times New Roman"/>
                <w:sz w:val="16"/>
                <w:lang w:val="en-US"/>
              </w:rPr>
            </w:pPr>
            <w:r>
              <w:rPr>
                <w:rFonts w:ascii="Times New Roman" w:hint="eastAsia"/>
                <w:sz w:val="16"/>
                <w:lang w:val="en-US"/>
              </w:rPr>
              <w:t>95%</w:t>
            </w:r>
          </w:p>
        </w:tc>
        <w:tc>
          <w:tcPr>
            <w:tcW w:w="1615" w:type="dxa"/>
          </w:tcPr>
          <w:p w:rsidR="00881E5F" w:rsidRDefault="00881E5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881E5F">
        <w:trPr>
          <w:trHeight w:val="239"/>
        </w:trPr>
        <w:tc>
          <w:tcPr>
            <w:tcW w:w="641" w:type="dxa"/>
          </w:tcPr>
          <w:p w:rsidR="00881E5F" w:rsidRDefault="00034A06">
            <w:pPr>
              <w:pStyle w:val="TableParagraph"/>
              <w:spacing w:before="10" w:line="209" w:lineRule="exact"/>
              <w:ind w:left="137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  <w:tc>
          <w:tcPr>
            <w:tcW w:w="8643" w:type="dxa"/>
            <w:gridSpan w:val="8"/>
          </w:tcPr>
          <w:p w:rsidR="00881E5F" w:rsidRDefault="00034A06">
            <w:pPr>
              <w:pStyle w:val="TableParagraph"/>
              <w:spacing w:before="10" w:line="209" w:lineRule="exact"/>
              <w:ind w:left="360"/>
              <w:rPr>
                <w:sz w:val="18"/>
              </w:rPr>
            </w:pPr>
            <w:r>
              <w:rPr>
                <w:rFonts w:hint="eastAsia"/>
                <w:sz w:val="18"/>
              </w:rPr>
              <w:t>无</w:t>
            </w:r>
          </w:p>
        </w:tc>
      </w:tr>
    </w:tbl>
    <w:p w:rsidR="00881E5F" w:rsidRDefault="00034A06">
      <w:pPr>
        <w:spacing w:before="8" w:line="249" w:lineRule="auto"/>
        <w:ind w:left="526" w:right="637" w:hanging="300"/>
        <w:rPr>
          <w:rFonts w:ascii="宋体" w:eastAsia="宋体"/>
          <w:sz w:val="15"/>
        </w:rPr>
      </w:pPr>
      <w:r>
        <w:rPr>
          <w:rFonts w:ascii="宋体" w:eastAsia="宋体" w:hint="eastAsia"/>
          <w:sz w:val="15"/>
        </w:rPr>
        <w:t>注：</w:t>
      </w:r>
      <w:r>
        <w:rPr>
          <w:rFonts w:ascii="宋体" w:eastAsia="宋体" w:hint="eastAsia"/>
          <w:sz w:val="15"/>
        </w:rPr>
        <w:t>1.</w:t>
      </w:r>
      <w:r>
        <w:rPr>
          <w:rFonts w:ascii="宋体" w:eastAsia="宋体" w:hint="eastAsia"/>
          <w:sz w:val="15"/>
        </w:rPr>
        <w:t>其他资金包括和各级财政资金共同投入到同一项目的自有资金、社会资金，以及以前年度的结转结余资金等。</w:t>
      </w:r>
      <w:r>
        <w:rPr>
          <w:rFonts w:ascii="宋体" w:eastAsia="宋体" w:hint="eastAsia"/>
          <w:sz w:val="15"/>
        </w:rPr>
        <w:t xml:space="preserve">                 2.</w:t>
      </w:r>
      <w:r>
        <w:rPr>
          <w:rFonts w:ascii="宋体" w:eastAsia="宋体" w:hint="eastAsia"/>
          <w:spacing w:val="-1"/>
          <w:sz w:val="15"/>
        </w:rPr>
        <w:t>定量指标，资金使用单位填写本地区实际完成数。财政和主管部门汇总时，对绝对值直接累加计算，相对值按照资金额度加权平均</w:t>
      </w:r>
    </w:p>
    <w:p w:rsidR="00881E5F" w:rsidRDefault="00034A06">
      <w:pPr>
        <w:spacing w:before="1"/>
        <w:ind w:left="226"/>
        <w:rPr>
          <w:rFonts w:ascii="宋体" w:eastAsia="宋体"/>
          <w:sz w:val="15"/>
        </w:rPr>
      </w:pPr>
      <w:r>
        <w:rPr>
          <w:rFonts w:ascii="宋体" w:eastAsia="宋体" w:hint="eastAsia"/>
          <w:sz w:val="15"/>
        </w:rPr>
        <w:lastRenderedPageBreak/>
        <w:t>计算。</w:t>
      </w:r>
    </w:p>
    <w:p w:rsidR="00881E5F" w:rsidRDefault="00034A06">
      <w:pPr>
        <w:spacing w:before="7" w:line="249" w:lineRule="auto"/>
        <w:ind w:left="226" w:right="490" w:firstLine="300"/>
        <w:rPr>
          <w:rFonts w:ascii="宋体" w:eastAsia="宋体"/>
          <w:sz w:val="15"/>
        </w:rPr>
      </w:pPr>
      <w:r>
        <w:rPr>
          <w:rFonts w:ascii="宋体" w:eastAsia="宋体" w:hint="eastAsia"/>
          <w:sz w:val="15"/>
        </w:rPr>
        <w:t>3.</w:t>
      </w:r>
      <w:r>
        <w:rPr>
          <w:rFonts w:ascii="宋体" w:eastAsia="宋体" w:hint="eastAsia"/>
          <w:sz w:val="15"/>
        </w:rPr>
        <w:t>定性指标根据指标完成情况分为：全部或基本达成预期指标、部分达成预期指标并具有一定效果、未达成预期指标且效果较差三档，</w:t>
      </w:r>
      <w:r>
        <w:rPr>
          <w:rFonts w:ascii="宋体" w:eastAsia="宋体" w:hint="eastAsia"/>
          <w:sz w:val="15"/>
        </w:rPr>
        <w:t xml:space="preserve"> </w:t>
      </w:r>
      <w:r>
        <w:rPr>
          <w:rFonts w:ascii="宋体" w:eastAsia="宋体" w:hint="eastAsia"/>
          <w:sz w:val="15"/>
        </w:rPr>
        <w:t>分别按照</w:t>
      </w:r>
      <w:r>
        <w:rPr>
          <w:rFonts w:ascii="宋体" w:eastAsia="宋体" w:hint="eastAsia"/>
          <w:sz w:val="15"/>
        </w:rPr>
        <w:t xml:space="preserve"> 100%-80%</w:t>
      </w:r>
      <w:r>
        <w:rPr>
          <w:rFonts w:ascii="宋体" w:eastAsia="宋体" w:hint="eastAsia"/>
          <w:sz w:val="15"/>
        </w:rPr>
        <w:t>（含）、</w:t>
      </w:r>
      <w:r>
        <w:rPr>
          <w:rFonts w:ascii="宋体" w:eastAsia="宋体" w:hint="eastAsia"/>
          <w:sz w:val="15"/>
        </w:rPr>
        <w:t>80%-60%</w:t>
      </w:r>
      <w:r>
        <w:rPr>
          <w:rFonts w:ascii="宋体" w:eastAsia="宋体" w:hint="eastAsia"/>
          <w:sz w:val="15"/>
        </w:rPr>
        <w:t>（含）、</w:t>
      </w:r>
      <w:r>
        <w:rPr>
          <w:rFonts w:ascii="宋体" w:eastAsia="宋体" w:hint="eastAsia"/>
          <w:sz w:val="15"/>
        </w:rPr>
        <w:t>60-0%</w:t>
      </w:r>
      <w:r>
        <w:rPr>
          <w:rFonts w:ascii="宋体" w:eastAsia="宋体" w:hint="eastAsia"/>
          <w:sz w:val="15"/>
        </w:rPr>
        <w:t>合理填写完成比例。</w:t>
      </w:r>
    </w:p>
    <w:p w:rsidR="00881E5F" w:rsidRDefault="00034A06">
      <w:pPr>
        <w:spacing w:before="1"/>
        <w:ind w:left="526"/>
        <w:rPr>
          <w:rFonts w:ascii="宋体" w:eastAsia="宋体"/>
          <w:sz w:val="15"/>
        </w:rPr>
        <w:sectPr w:rsidR="00881E5F">
          <w:footerReference w:type="even" r:id="rId7"/>
          <w:footerReference w:type="default" r:id="rId8"/>
          <w:pgSz w:w="11910" w:h="16840"/>
          <w:pgMar w:top="1600" w:right="680" w:bottom="1140" w:left="1360" w:header="0" w:footer="955" w:gutter="0"/>
          <w:cols w:space="720"/>
        </w:sectPr>
      </w:pPr>
      <w:r>
        <w:rPr>
          <w:rFonts w:ascii="宋体" w:eastAsia="宋体" w:hint="eastAsia"/>
          <w:sz w:val="15"/>
        </w:rPr>
        <w:t>4.</w:t>
      </w:r>
      <w:r>
        <w:rPr>
          <w:rFonts w:ascii="宋体" w:eastAsia="宋体" w:hint="eastAsia"/>
          <w:sz w:val="15"/>
        </w:rPr>
        <w:t>资金使用单位按项目填报，主管部门和财政部门汇总时按区域绩效目标填报</w:t>
      </w:r>
    </w:p>
    <w:p w:rsidR="00881E5F" w:rsidRDefault="00881E5F">
      <w:pPr>
        <w:pStyle w:val="a3"/>
        <w:rPr>
          <w:rFonts w:ascii="宋体"/>
        </w:rPr>
      </w:pPr>
    </w:p>
    <w:sectPr w:rsidR="00881E5F" w:rsidSect="00881E5F">
      <w:footerReference w:type="even" r:id="rId9"/>
      <w:footerReference w:type="default" r:id="rId10"/>
      <w:pgSz w:w="16840" w:h="11910" w:orient="landscape"/>
      <w:pgMar w:top="1100" w:right="1980" w:bottom="280" w:left="1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E5F" w:rsidRDefault="00881E5F" w:rsidP="00881E5F">
      <w:r>
        <w:separator/>
      </w:r>
    </w:p>
  </w:endnote>
  <w:endnote w:type="continuationSeparator" w:id="0">
    <w:p w:rsidR="00881E5F" w:rsidRDefault="00881E5F" w:rsidP="0088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5F" w:rsidRDefault="00881E5F">
    <w:pPr>
      <w:pStyle w:val="a3"/>
      <w:spacing w:line="14" w:lineRule="auto"/>
      <w:rPr>
        <w:sz w:val="20"/>
      </w:rPr>
    </w:pPr>
    <w:r w:rsidRPr="00881E5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3073" type="#_x0000_t202" style="position:absolute;margin-left:78.3pt;margin-top:783.2pt;width:42.05pt;height:18pt;z-index:-255220736;mso-position-horizontal-relative:page;mso-position-vertical-relative:page;mso-width-relative:page;mso-height-relative:page" o:gfxdata="UEsDBAoAAAAAAIdO4kAAAAAAAAAAAAAAAAAEAAAAZHJzL1BLAwQUAAAACACHTuJAUQV1GNkAAAAN&#10;AQAADwAAAGRycy9kb3ducmV2LnhtbE2PzU7DMBCE70i8g7VI3KjdKJgS4lQIwQkJkYZDj07sJlbj&#10;dYjdH96eRRzgtrM7mv2mXJ/9yI52ji6gguVCALPYBeOwV/DRvNysgMWk0egxoFXwZSOsq8uLUhcm&#10;nLC2x03qGYVgLLSCIaWp4Dx2g/U6LsJkkW67MHudSM49N7M+UbgfeSaE5F47pA+DnuzTYLv95uAV&#10;PG6xfnafb+17vatd09wLfJV7pa6vluIBWLLn9GeGH3xCh4qY2nBAE9lI+lZKsv4OOTCyZLm4A9bS&#10;SoosB16V/H+L6htQSwMEFAAAAAgAh07iQNa6DeaiAQAAJgMAAA4AAABkcnMvZTJvRG9jLnhtbK1S&#10;S27bMBDdF+gdCO5rykpiBILlAEWQIkDRBkhzAJoiLQL8YchY8gXaG3TVTfY5l8+RIWM5absLshkN&#10;Z0aP773h8mK0hmwlRO1dS+ezihLphO+027T07sfVp3NKYuKu48Y72dKdjPRi9fHDcgiNrH3vTSeB&#10;IIiLzRBa2qcUGsai6KXlceaDdNhUHixPeIQN64APiG4Nq6tqwQYPXQAvZIxYvXxu0lXBV0qK9F2p&#10;KBMxLUVuqUQocZ0jWy15swEeei0ONPgbWFiuHV56hLrkiZN70P9BWS3AR6/STHjLvFJayKIB1cyr&#10;f9Tc9jzIogXNieFoU3w/WPFtewNEdy2tKXHc4or2v3/t/zzuH36SeVUvskNDiA0O3gYcTeNnP+Km&#10;p3rEYhY+KrD5i5II9tHr3dFfOSYisHh2clqdnFEisFXX54uq+M9efg4Q0xfpLclJSwHXV1zl268x&#10;IREcnUbyXc5faWPKCo37q4CDucIy82eGOUvjejzIWftuh2rMtUMz88OYEpiS9ZTcB9CbHukUzQUS&#10;l1HIHB5O3vbrc7n45Xmvn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RBXUY2QAAAA0BAAAPAAAA&#10;AAAAAAEAIAAAACIAAABkcnMvZG93bnJldi54bWxQSwECFAAUAAAACACHTuJA1roN5qIBAAAmAwAA&#10;DgAAAAAAAAABACAAAAAoAQAAZHJzL2Uyb0RvYy54bWxQSwUGAAAAAAYABgBZAQAAPAUAAAAA&#10;" filled="f" stroked="f">
          <v:textbox inset="0,0,0,0">
            <w:txbxContent>
              <w:p w:rsidR="00881E5F" w:rsidRDefault="00034A06">
                <w:pPr>
                  <w:pStyle w:val="a3"/>
                  <w:spacing w:line="360" w:lineRule="exact"/>
                  <w:ind w:left="20"/>
                  <w:rPr>
                    <w:rFonts w:ascii="宋体"/>
                  </w:rPr>
                </w:pPr>
                <w:r>
                  <w:rPr>
                    <w:rFonts w:ascii="宋体"/>
                  </w:rPr>
                  <w:t xml:space="preserve">- </w:t>
                </w:r>
                <w:r w:rsidR="00881E5F"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 w:rsidR="00881E5F">
                  <w:fldChar w:fldCharType="separate"/>
                </w:r>
                <w:r>
                  <w:rPr>
                    <w:rFonts w:ascii="宋体"/>
                    <w:noProof/>
                  </w:rPr>
                  <w:t>2</w:t>
                </w:r>
                <w:r w:rsidR="00881E5F">
                  <w:fldChar w:fldCharType="end"/>
                </w:r>
                <w:r>
                  <w:rPr>
                    <w:rFonts w:ascii="宋体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5F" w:rsidRDefault="00881E5F">
    <w:pPr>
      <w:pStyle w:val="a3"/>
      <w:spacing w:line="14" w:lineRule="auto"/>
      <w:rPr>
        <w:sz w:val="20"/>
      </w:rPr>
    </w:pPr>
    <w:r w:rsidRPr="00881E5F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474.85pt;margin-top:783.2pt;width:41.95pt;height:18pt;z-index:-255221760;mso-position-horizontal-relative:page;mso-position-vertical-relative:page;mso-width-relative:page;mso-height-relative:page" o:gfxdata="UEsDBAoAAAAAAIdO4kAAAAAAAAAAAAAAAAAEAAAAZHJzL1BLAwQUAAAACACHTuJAAHzP/9wAAAAO&#10;AQAADwAAAGRycy9kb3ducmV2LnhtbE2Py07DMBBF90j8gzVI7KjdNpgmjVMhBCsk1DQsWDqJm1iN&#10;xyF2H/w90xXsZnSP7pzJNxc3sJOZgvWoYD4TwAw2vrXYKfis3h5WwELU2OrBo1HwYwJsitubXGet&#10;P2NpTrvYMSrBkGkFfYxjxnloeuN0mPnRIGV7PzkdaZ063k76TOVu4AshJHfaIl3o9WheetMcdken&#10;4PkLy1f7/VFvy31pqyoV+C4PSt3fzcUaWDSX+AfDVZ/UoSCn2h+xDWxQkCbpE6EUPEqZALsiYrmU&#10;wGqapFgkwIuc/3+j+AVQSwMEFAAAAAgAh07iQGFN7JOhAQAAJgMAAA4AAABkcnMvZTJvRG9jLnht&#10;bK1SwU4bMRC9V+IfLN8bb7ZKilbZICEEqlTRSpQPcLx21pLtsWyT3fwA/YOeuHDnu/IdjE0SKL1V&#10;XLzjmdk3773x4my0hmxkiBpcS6eTihLpBHTarVt6++vy8yklMXHXcQNOtnQrIz1bnnxaDL6RNfRg&#10;OhkIgrjYDL6lfUq+YSyKXloeJ+Clw6KCYHnCa1izLvAB0a1hdVXN2QCh8wGEjBGzFy9Fuiz4SkmR&#10;figVZSKmpcgtlTOUc5VPtlzwZh2477XY0+D/wcJy7XDoEeqCJ07ugv4HymoRIIJKEwGWgVJayKIB&#10;1Uyrd2pueu5l0YLmRH+0KX4crLje/AxEd7g7Shy3uKLdn9+7h6fd4z2ZVvUsOzT42GDjjcfWNJ7D&#10;mLv3+YjJLHxUweYvSiJYR6+3R3/lmIjA5OxL/XU+o0Rgqa5P51Xxn73+7ENMVxIsyUFLA66vuMo3&#10;32PCgdh6aMmzHFxqY8oKjfsrgY05wzLzF4Y5SuNq3NNeQbdFNeabQzPzwzgE4RCsDsGdD3rdI52i&#10;uUDiMgqZ/cPJ2357L4Nfn/fyG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AB8z//cAAAADgEAAA8A&#10;AAAAAAAAAQAgAAAAIgAAAGRycy9kb3ducmV2LnhtbFBLAQIUABQAAAAIAIdO4kBhTeyToQEAACYD&#10;AAAOAAAAAAAAAAEAIAAAACsBAABkcnMvZTJvRG9jLnhtbFBLBQYAAAAABgAGAFkBAAA+BQAAAAA=&#10;" filled="f" stroked="f">
          <v:textbox inset="0,0,0,0">
            <w:txbxContent>
              <w:p w:rsidR="00881E5F" w:rsidRDefault="00034A06">
                <w:pPr>
                  <w:pStyle w:val="a3"/>
                  <w:spacing w:line="360" w:lineRule="exact"/>
                  <w:ind w:left="20"/>
                  <w:rPr>
                    <w:rFonts w:ascii="宋体"/>
                  </w:rPr>
                </w:pPr>
                <w:r>
                  <w:rPr>
                    <w:rFonts w:ascii="宋体"/>
                  </w:rPr>
                  <w:t xml:space="preserve">- </w:t>
                </w:r>
                <w:r w:rsidR="00881E5F">
                  <w:fldChar w:fldCharType="begin"/>
                </w:r>
                <w:r>
                  <w:rPr>
                    <w:rFonts w:ascii="宋体"/>
                  </w:rPr>
                  <w:instrText xml:space="preserve"> PAGE </w:instrText>
                </w:r>
                <w:r w:rsidR="00881E5F">
                  <w:fldChar w:fldCharType="separate"/>
                </w:r>
                <w:r>
                  <w:rPr>
                    <w:rFonts w:ascii="宋体"/>
                    <w:noProof/>
                  </w:rPr>
                  <w:t>1</w:t>
                </w:r>
                <w:r w:rsidR="00881E5F">
                  <w:fldChar w:fldCharType="end"/>
                </w:r>
                <w:r>
                  <w:rPr>
                    <w:rFonts w:ascii="宋体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5F" w:rsidRDefault="00881E5F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E5F" w:rsidRDefault="00881E5F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E5F" w:rsidRDefault="00881E5F" w:rsidP="00881E5F">
      <w:r>
        <w:separator/>
      </w:r>
    </w:p>
  </w:footnote>
  <w:footnote w:type="continuationSeparator" w:id="0">
    <w:p w:rsidR="00881E5F" w:rsidRDefault="00881E5F" w:rsidP="0088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drawingGridHorizontalSpacing w:val="110"/>
  <w:noPunctuationKerning/>
  <w:characterSpacingControl w:val="doNotCompress"/>
  <w:hdrShapeDefaults>
    <o:shapedefaults v:ext="edit" spidmax="5122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881E5F"/>
    <w:rsid w:val="00034A06"/>
    <w:rsid w:val="004C668A"/>
    <w:rsid w:val="00881E5F"/>
    <w:rsid w:val="0214698A"/>
    <w:rsid w:val="181870E8"/>
    <w:rsid w:val="1E0A7902"/>
    <w:rsid w:val="300130DF"/>
    <w:rsid w:val="38B26F80"/>
    <w:rsid w:val="52FD4776"/>
    <w:rsid w:val="54FA7F5E"/>
    <w:rsid w:val="5DBF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81E5F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881E5F"/>
    <w:pPr>
      <w:ind w:right="680"/>
      <w:jc w:val="center"/>
      <w:outlineLvl w:val="0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81E5F"/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881E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881E5F"/>
    <w:pPr>
      <w:spacing w:before="190"/>
      <w:ind w:left="1668" w:hanging="802"/>
    </w:pPr>
  </w:style>
  <w:style w:type="paragraph" w:customStyle="1" w:styleId="TableParagraph">
    <w:name w:val="Table Paragraph"/>
    <w:basedOn w:val="a"/>
    <w:uiPriority w:val="1"/>
    <w:qFormat/>
    <w:rsid w:val="00881E5F"/>
    <w:rPr>
      <w:rFonts w:ascii="宋体" w:eastAsia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在 9408 中的 WPS文档</dc:title>
  <dc:creator>Lenovo</dc:creator>
  <cp:lastModifiedBy>Administrator</cp:lastModifiedBy>
  <cp:revision>3</cp:revision>
  <cp:lastPrinted>2020-11-09T02:33:00Z</cp:lastPrinted>
  <dcterms:created xsi:type="dcterms:W3CDTF">2020-09-07T03:29:00Z</dcterms:created>
  <dcterms:modified xsi:type="dcterms:W3CDTF">2020-11-09T02:34:00Z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2020-09-07T00:00:00Z</vt:filetime>
  </property>
  <property fmtid="{D5CDD505-2E9C-101B-9397-08002B2CF9AE}" pid="5" name="KSOProductBuildVer">
    <vt:lpwstr>2052-11.1.0.10011</vt:lpwstr>
  </property>
</Properties>
</file>