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5" w:line="402" w:lineRule="exact"/>
        <w:ind w:left="226"/>
        <w:rPr>
          <w:rFonts w:ascii="黑体" w:eastAsia="黑体"/>
        </w:rPr>
      </w:pPr>
      <w:r>
        <w:rPr>
          <w:rFonts w:hint="eastAsia" w:ascii="黑体" w:eastAsia="黑体"/>
        </w:rPr>
        <w:t xml:space="preserve">附件 </w:t>
      </w:r>
      <w:r>
        <w:rPr>
          <w:rFonts w:hint="eastAsia" w:ascii="黑体" w:eastAsia="黑体"/>
          <w:lang w:val="en-US"/>
        </w:rPr>
        <w:t>5</w:t>
      </w:r>
    </w:p>
    <w:p>
      <w:pPr>
        <w:pStyle w:val="2"/>
        <w:spacing w:line="771" w:lineRule="exact"/>
        <w:ind w:right="682"/>
      </w:pPr>
      <w:r>
        <w:rPr>
          <w:rFonts w:hint="eastAsia"/>
        </w:rPr>
        <w:t>昌邑市人民法院中央政法纪检监察</w:t>
      </w:r>
      <w:r>
        <w:t>转移支付 2019 年度绩效自评报告</w:t>
      </w:r>
    </w:p>
    <w:p>
      <w:pPr>
        <w:pStyle w:val="3"/>
        <w:rPr>
          <w:rFonts w:ascii="宋体"/>
        </w:rPr>
      </w:pPr>
    </w:p>
    <w:p>
      <w:pPr>
        <w:pStyle w:val="3"/>
        <w:spacing w:before="8"/>
        <w:rPr>
          <w:rFonts w:ascii="宋体"/>
          <w:sz w:val="29"/>
        </w:rPr>
      </w:pPr>
    </w:p>
    <w:p>
      <w:pPr>
        <w:pStyle w:val="3"/>
        <w:ind w:left="867"/>
        <w:rPr>
          <w:rFonts w:ascii="黑体" w:eastAsia="黑体"/>
        </w:rPr>
      </w:pPr>
      <w:r>
        <w:rPr>
          <w:rFonts w:hint="eastAsia" w:ascii="黑体" w:eastAsia="黑体"/>
        </w:rPr>
        <w:t>一、绩效目标分解下达情况</w:t>
      </w:r>
    </w:p>
    <w:p>
      <w:pPr>
        <w:numPr>
          <w:ilvl w:val="0"/>
          <w:numId w:val="1"/>
        </w:numPr>
        <w:rPr>
          <w:sz w:val="32"/>
          <w:szCs w:val="32"/>
        </w:rPr>
      </w:pPr>
      <w:r>
        <w:rPr>
          <w:rFonts w:hint="eastAsia"/>
          <w:sz w:val="32"/>
          <w:szCs w:val="32"/>
        </w:rPr>
        <w:t>中央下达转移支付预算和绩效目标情况。</w:t>
      </w:r>
    </w:p>
    <w:p>
      <w:pPr>
        <w:pStyle w:val="3"/>
        <w:spacing w:before="190" w:line="350" w:lineRule="auto"/>
        <w:ind w:left="226" w:right="679" w:firstLine="640"/>
        <w:rPr>
          <w:lang w:val="en-US"/>
        </w:rPr>
      </w:pPr>
      <w:r>
        <w:rPr>
          <w:rFonts w:hint="eastAsia"/>
          <w:lang w:val="en-US"/>
        </w:rPr>
        <w:t>2019年中央下达中央转移支付预算项目支出的金额为550万。绩效目标为：1.坚持党对人民法院工作的绝对领导，紧紧围绕“努力让人民群众在每一个司法案件中感受到公平正义”目标，坚持以人民为中心的发展思想，全面推进诉讼服务体系建设，全面提高审判管理精细化水平，切实履行好维护国家政治安全、确保社会大局稳定、促进社会公平正义、保障人民安居乐业的职责使命。2.转移支付资金使用效益持续提升。3.法院审判业务装备升级更新。对不能满足审判需要的业务装备,按照数量、技术性能要求等进行有计划的更新升级。</w:t>
      </w:r>
    </w:p>
    <w:p>
      <w:pPr>
        <w:pStyle w:val="3"/>
        <w:numPr>
          <w:ilvl w:val="0"/>
          <w:numId w:val="1"/>
        </w:numPr>
        <w:spacing w:before="190"/>
        <w:rPr>
          <w:lang w:val="en-US"/>
        </w:rPr>
      </w:pPr>
      <w:r>
        <w:rPr>
          <w:rFonts w:hint="eastAsia"/>
          <w:lang w:val="en-US"/>
        </w:rPr>
        <w:t>资金安排、分解下达预算和绩效目标情况。</w:t>
      </w:r>
    </w:p>
    <w:p>
      <w:pPr>
        <w:pStyle w:val="3"/>
        <w:spacing w:before="190" w:line="350" w:lineRule="auto"/>
        <w:ind w:left="226" w:right="679" w:firstLine="640"/>
        <w:rPr>
          <w:lang w:val="en-US"/>
        </w:rPr>
      </w:pPr>
      <w:r>
        <w:rPr>
          <w:rFonts w:hint="eastAsia"/>
          <w:lang w:val="en-US"/>
        </w:rPr>
        <w:t>2019年中央下达中央政法纪检监察转移支付预算为项目支出的金额为424万。其中业务装备费目标额123.88万元。良好的提高了审判管理精细化水平，维护社会公平正义；满足了审判业务装备的优化升级。</w:t>
      </w:r>
    </w:p>
    <w:p>
      <w:pPr>
        <w:pStyle w:val="3"/>
        <w:spacing w:before="190"/>
        <w:ind w:left="867"/>
        <w:rPr>
          <w:rFonts w:ascii="黑体" w:eastAsia="黑体"/>
        </w:rPr>
      </w:pPr>
      <w:r>
        <w:rPr>
          <w:rFonts w:hint="eastAsia" w:ascii="黑体" w:eastAsia="黑体"/>
          <w:spacing w:val="-1"/>
        </w:rPr>
        <w:t>二、绩效目标完成情况分析</w:t>
      </w:r>
    </w:p>
    <w:p>
      <w:pPr>
        <w:pStyle w:val="3"/>
        <w:spacing w:before="190"/>
        <w:ind w:left="867"/>
        <w:rPr>
          <w:rFonts w:ascii="宋体" w:eastAsia="宋体"/>
        </w:rPr>
      </w:pPr>
      <w:r>
        <w:rPr>
          <w:rFonts w:hint="eastAsia" w:ascii="宋体" w:eastAsia="宋体"/>
          <w:spacing w:val="-1"/>
        </w:rPr>
        <w:t>（一）资金投入情况分析。</w:t>
      </w:r>
    </w:p>
    <w:p>
      <w:pPr>
        <w:pStyle w:val="3"/>
        <w:spacing w:before="190" w:line="350" w:lineRule="auto"/>
        <w:ind w:left="226" w:right="679" w:firstLine="640"/>
        <w:rPr>
          <w:lang w:val="en-US"/>
        </w:rPr>
      </w:pPr>
      <w:r>
        <w:rPr>
          <w:rFonts w:hint="eastAsia"/>
          <w:lang w:val="en-US"/>
        </w:rPr>
        <w:t>1.</w:t>
      </w:r>
      <w:r>
        <w:rPr>
          <w:lang w:val="en-US"/>
        </w:rPr>
        <w:t>项目资金到位情况分析。</w:t>
      </w:r>
      <w:r>
        <w:rPr>
          <w:rFonts w:hint="eastAsia"/>
          <w:lang w:val="en-US"/>
        </w:rPr>
        <w:t>2019年项目资金到位550万元，全部到位。</w:t>
      </w:r>
    </w:p>
    <w:p>
      <w:pPr>
        <w:pStyle w:val="3"/>
        <w:spacing w:before="190" w:line="350" w:lineRule="auto"/>
        <w:ind w:left="226" w:right="679" w:firstLine="640"/>
        <w:rPr>
          <w:lang w:val="en-US"/>
        </w:rPr>
      </w:pPr>
      <w:r>
        <w:rPr>
          <w:rFonts w:hint="eastAsia"/>
          <w:lang w:val="en-US"/>
        </w:rPr>
        <w:t>2.</w:t>
      </w:r>
      <w:r>
        <w:rPr>
          <w:lang w:val="en-US"/>
        </w:rPr>
        <w:t>项目资金执行情况分析。</w:t>
      </w:r>
      <w:r>
        <w:rPr>
          <w:rFonts w:hint="eastAsia"/>
          <w:lang w:val="en-US"/>
        </w:rPr>
        <w:t>2019年项目资金实际执行数为464.05万元，预算执行率为84.37%。预算执行率不够高，主要原因是有部分指标下达时间为2019年12月底，资金未得到及时利用。</w:t>
      </w:r>
    </w:p>
    <w:p>
      <w:pPr>
        <w:pStyle w:val="3"/>
        <w:spacing w:before="190" w:line="350" w:lineRule="auto"/>
        <w:ind w:left="226" w:right="679" w:firstLine="640"/>
        <w:rPr>
          <w:lang w:val="en-US"/>
        </w:rPr>
      </w:pPr>
      <w:r>
        <w:rPr>
          <w:rFonts w:hint="eastAsia"/>
          <w:lang w:val="en-US"/>
        </w:rPr>
        <w:t>3.</w:t>
      </w:r>
      <w:r>
        <w:rPr>
          <w:lang w:val="en-US"/>
        </w:rPr>
        <w:t>项目资金管理情况分析。</w:t>
      </w:r>
      <w:r>
        <w:rPr>
          <w:rFonts w:hint="eastAsia"/>
          <w:lang w:val="en-US"/>
        </w:rPr>
        <w:t>2019年项目资金得到较好的利用，一方面保障</w:t>
      </w:r>
      <w:r>
        <w:rPr>
          <w:lang w:val="en-US"/>
        </w:rPr>
        <w:t>转移支付资金使用效益持续提升</w:t>
      </w:r>
      <w:r>
        <w:rPr>
          <w:rFonts w:hint="eastAsia"/>
          <w:lang w:val="en-US"/>
        </w:rPr>
        <w:t>，另一方面</w:t>
      </w:r>
      <w:r>
        <w:rPr>
          <w:lang w:val="en-US"/>
        </w:rPr>
        <w:t>法院审判业务装备升级更新。对不能满足审判需要的业务装备,按照数量、技术性能要求等进行有计划的更新升级。</w:t>
      </w:r>
    </w:p>
    <w:p>
      <w:pPr>
        <w:pStyle w:val="3"/>
        <w:spacing w:before="190"/>
        <w:ind w:left="867"/>
        <w:rPr>
          <w:rFonts w:ascii="宋体" w:eastAsia="宋体"/>
          <w:spacing w:val="-1"/>
        </w:rPr>
      </w:pPr>
      <w:r>
        <w:rPr>
          <w:rFonts w:hint="eastAsia" w:ascii="宋体" w:eastAsia="宋体"/>
          <w:spacing w:val="-1"/>
        </w:rPr>
        <w:t>（二）总体绩效目标完成情况分析。</w:t>
      </w:r>
    </w:p>
    <w:p>
      <w:pPr>
        <w:pStyle w:val="3"/>
        <w:spacing w:before="190" w:line="350" w:lineRule="auto"/>
        <w:ind w:left="226" w:right="679" w:firstLine="640"/>
        <w:rPr>
          <w:lang w:val="en-US"/>
        </w:rPr>
      </w:pPr>
      <w:r>
        <w:rPr>
          <w:rFonts w:hint="eastAsia"/>
          <w:lang w:val="en-US"/>
        </w:rPr>
        <w:t>项目资金在使用过程中坚持党对人民法院工作的绝对领导，紧紧围绕“努力让人民群众在每一个司法案件中感受到公平正义”目标，坚持以人民为中心的发展思想，全面推进诉讼服务体系建设，全面提高审判管理精细化水平，切实履行好维护国家政治安全、确保社会大局稳定、促进社会公平正义、保障人民安居乐业的职责使命。</w:t>
      </w:r>
    </w:p>
    <w:p>
      <w:pPr>
        <w:pStyle w:val="3"/>
        <w:spacing w:before="190" w:line="350" w:lineRule="auto"/>
        <w:ind w:left="226" w:right="679" w:firstLine="640"/>
        <w:rPr>
          <w:lang w:val="en-US"/>
        </w:rPr>
      </w:pPr>
      <w:r>
        <w:rPr>
          <w:rFonts w:hint="eastAsia"/>
          <w:lang w:val="en-US"/>
        </w:rPr>
        <w:t>2019年本院收案数量9378件，结案数量9501件。其中2019年业务装备费目标额123.88万元，实际使用121.83万元。主要用于购买电子卷宗同步生成应用系统、跨城立案设备、编解码系统、门禁系统、电脑、扫描仪、打印机等办公设备及服务。良好的提高了审判管理精细化水平，维护社会公平正义；满足了审判业务装备的优化升级。</w:t>
      </w:r>
      <w:r>
        <w:rPr>
          <w:rFonts w:hint="eastAsia"/>
          <w:lang w:val="en-US"/>
        </w:rPr>
        <w:tab/>
      </w:r>
    </w:p>
    <w:p>
      <w:pPr>
        <w:pStyle w:val="3"/>
        <w:spacing w:before="190" w:line="350" w:lineRule="auto"/>
        <w:ind w:left="226" w:right="908" w:firstLine="640"/>
      </w:pPr>
      <w:r>
        <w:rPr>
          <w:rFonts w:hint="eastAsia" w:ascii="宋体" w:eastAsia="宋体"/>
          <w:spacing w:val="-1"/>
        </w:rPr>
        <w:t>（三</w:t>
      </w:r>
      <w:r>
        <w:rPr>
          <w:rFonts w:hint="eastAsia" w:ascii="宋体" w:eastAsia="宋体"/>
          <w:spacing w:val="-34"/>
        </w:rPr>
        <w:t>）</w:t>
      </w:r>
      <w:r>
        <w:rPr>
          <w:rFonts w:hint="eastAsia" w:ascii="宋体" w:eastAsia="宋体"/>
          <w:spacing w:val="-1"/>
        </w:rPr>
        <w:t>绩效目标完成情况分析</w:t>
      </w:r>
      <w:r>
        <w:rPr>
          <w:rFonts w:hint="eastAsia" w:ascii="宋体" w:eastAsia="宋体"/>
          <w:spacing w:val="-195"/>
        </w:rPr>
        <w:t>。</w:t>
      </w:r>
    </w:p>
    <w:p>
      <w:pPr>
        <w:pStyle w:val="3"/>
        <w:spacing w:before="190" w:line="350" w:lineRule="auto"/>
        <w:ind w:left="226" w:right="679" w:firstLine="640"/>
        <w:rPr>
          <w:lang w:val="en-US"/>
        </w:rPr>
      </w:pPr>
      <w:r>
        <w:rPr>
          <w:rFonts w:hint="eastAsia"/>
          <w:lang w:val="en-US"/>
        </w:rPr>
        <w:t>1.产出指标完成情况分析。</w:t>
      </w:r>
    </w:p>
    <w:p>
      <w:pPr>
        <w:pStyle w:val="3"/>
        <w:spacing w:before="190" w:line="350" w:lineRule="auto"/>
        <w:ind w:left="226" w:right="679" w:firstLine="640"/>
        <w:rPr>
          <w:lang w:val="en-US"/>
        </w:rPr>
      </w:pPr>
      <w:r>
        <w:rPr>
          <w:rFonts w:hint="eastAsia"/>
          <w:lang w:val="en-US"/>
        </w:rPr>
        <w:t>(1)数量指标。2019年项目资金用于昌邑市人民法院各项支出，2019年法院办理案件数量年度指标9378件，全年完成9501件；法院购置业务装备数量年度指标90，全年完成86。</w:t>
      </w:r>
    </w:p>
    <w:p>
      <w:pPr>
        <w:pStyle w:val="3"/>
        <w:spacing w:before="190" w:line="350" w:lineRule="auto"/>
        <w:ind w:left="226" w:right="679" w:firstLine="640"/>
        <w:rPr>
          <w:lang w:val="en-US"/>
        </w:rPr>
      </w:pPr>
      <w:r>
        <w:rPr>
          <w:rFonts w:hint="eastAsia"/>
          <w:lang w:val="en-US"/>
        </w:rPr>
        <w:t>(2)质量指标。昌邑市人民法院年度结案率年度指标100%，全年完成101.31%；购置业务装备合格率年度指标100%；全年完成100%；有财产可供执行案件法定审限内执结率</w:t>
      </w:r>
      <w:r>
        <w:rPr>
          <w:rFonts w:hint="eastAsia"/>
          <w:lang w:val="en-US"/>
        </w:rPr>
        <w:tab/>
      </w:r>
      <w:r>
        <w:rPr>
          <w:rFonts w:hint="eastAsia"/>
          <w:lang w:val="en-US"/>
        </w:rPr>
        <w:t>年度目标52%，全年完成51.65%。</w:t>
      </w:r>
    </w:p>
    <w:p>
      <w:pPr>
        <w:pStyle w:val="3"/>
        <w:spacing w:before="190" w:line="350" w:lineRule="auto"/>
        <w:ind w:left="226" w:right="679" w:firstLine="640"/>
        <w:rPr>
          <w:lang w:val="en-US"/>
        </w:rPr>
      </w:pPr>
      <w:r>
        <w:rPr>
          <w:rFonts w:hint="eastAsia"/>
          <w:lang w:val="en-US"/>
        </w:rPr>
        <w:t xml:space="preserve">(3)时效指标。2019年昌邑市人民法院案件平均办案天数年度指标90，全年完成66.25；采购业务装备及时率年度目标100%，全年完成100%。      </w:t>
      </w:r>
    </w:p>
    <w:p>
      <w:pPr>
        <w:pStyle w:val="9"/>
        <w:tabs>
          <w:tab w:val="left" w:pos="1669"/>
        </w:tabs>
        <w:spacing w:line="350" w:lineRule="auto"/>
        <w:ind w:left="0" w:right="5158" w:firstLine="640" w:firstLineChars="200"/>
        <w:rPr>
          <w:sz w:val="32"/>
        </w:rPr>
        <w:sectPr>
          <w:footerReference r:id="rId3" w:type="default"/>
          <w:footerReference r:id="rId4" w:type="even"/>
          <w:pgSz w:w="11910" w:h="16840"/>
          <w:pgMar w:top="1599" w:right="680" w:bottom="278" w:left="1361" w:header="0" w:footer="955" w:gutter="0"/>
          <w:cols w:space="720" w:num="1"/>
        </w:sectPr>
      </w:pPr>
      <w:r>
        <w:rPr>
          <w:sz w:val="32"/>
        </w:rPr>
        <w:t xml:space="preserve"> </w:t>
      </w:r>
      <w:r>
        <w:rPr>
          <w:spacing w:val="-1"/>
          <w:sz w:val="32"/>
        </w:rPr>
        <w:t>2.</w:t>
      </w:r>
      <w:r>
        <w:rPr>
          <w:sz w:val="32"/>
        </w:rPr>
        <w:t>效益指标完成情况分析</w:t>
      </w:r>
    </w:p>
    <w:p>
      <w:pPr>
        <w:rPr>
          <w:rFonts w:ascii="仿宋" w:hAnsi="仿宋" w:eastAsia="仿宋" w:cs="仿宋"/>
          <w:sz w:val="32"/>
          <w:szCs w:val="32"/>
        </w:rPr>
      </w:pPr>
    </w:p>
    <w:p>
      <w:pPr>
        <w:pStyle w:val="3"/>
        <w:spacing w:before="190" w:line="350" w:lineRule="auto"/>
        <w:ind w:left="226" w:right="679" w:firstLine="640"/>
        <w:rPr>
          <w:lang w:val="en-US"/>
        </w:rPr>
      </w:pPr>
      <w:r>
        <w:rPr>
          <w:rFonts w:hint="eastAsia"/>
          <w:lang w:val="en-US"/>
        </w:rPr>
        <w:t>(1)社会效益。2019年昌邑市人民法院办案水平和审判能力年度指标100%，全年完成97%；维护社会公共安全和公平正义年度指标100%，全年完成96%。</w:t>
      </w:r>
    </w:p>
    <w:p>
      <w:pPr>
        <w:ind w:firstLine="640" w:firstLineChars="200"/>
        <w:rPr>
          <w:spacing w:val="-1"/>
          <w:sz w:val="32"/>
          <w:szCs w:val="32"/>
        </w:rPr>
      </w:pPr>
      <w:r>
        <w:rPr>
          <w:sz w:val="32"/>
          <w:szCs w:val="32"/>
        </w:rPr>
        <w:t xml:space="preserve"> </w:t>
      </w:r>
      <w:r>
        <w:rPr>
          <w:spacing w:val="-1"/>
          <w:sz w:val="32"/>
          <w:szCs w:val="32"/>
        </w:rPr>
        <w:t>3.满意度指标完成情况分析。</w:t>
      </w:r>
    </w:p>
    <w:p>
      <w:pPr>
        <w:pStyle w:val="3"/>
        <w:spacing w:before="190" w:line="350" w:lineRule="auto"/>
        <w:ind w:left="226" w:right="679" w:firstLine="640"/>
        <w:rPr>
          <w:lang w:val="en-US"/>
        </w:rPr>
      </w:pPr>
      <w:r>
        <w:rPr>
          <w:rFonts w:hint="eastAsia"/>
          <w:lang w:val="en-US"/>
        </w:rPr>
        <w:t>（1）服务对象满意度指标：2019年昌邑市人民法院社会公众满意度年度指标100%</w:t>
      </w:r>
      <w:r>
        <w:rPr>
          <w:rFonts w:hint="eastAsia"/>
          <w:lang w:val="en-US"/>
        </w:rPr>
        <w:tab/>
      </w:r>
      <w:r>
        <w:rPr>
          <w:rFonts w:hint="eastAsia"/>
          <w:lang w:val="en-US"/>
        </w:rPr>
        <w:t>，全年完成95%。</w:t>
      </w:r>
    </w:p>
    <w:p>
      <w:pPr>
        <w:pStyle w:val="3"/>
        <w:spacing w:before="190"/>
        <w:rPr>
          <w:rFonts w:ascii="黑体" w:eastAsia="黑体"/>
          <w:spacing w:val="-1"/>
        </w:rPr>
      </w:pPr>
      <w:r>
        <w:rPr>
          <w:rFonts w:hint="eastAsia" w:ascii="黑体" w:eastAsia="黑体"/>
          <w:spacing w:val="-1"/>
        </w:rPr>
        <w:t>三、偏离绩效目标的原因和下一步改进措施</w:t>
      </w:r>
    </w:p>
    <w:p>
      <w:pPr>
        <w:pStyle w:val="3"/>
        <w:spacing w:before="190" w:line="350" w:lineRule="auto"/>
        <w:ind w:left="226" w:right="679" w:firstLine="640"/>
        <w:rPr>
          <w:lang w:val="en-US"/>
        </w:rPr>
      </w:pPr>
      <w:bookmarkStart w:id="0" w:name="_GoBack"/>
      <w:r>
        <w:rPr>
          <w:rFonts w:hint="eastAsia"/>
          <w:lang w:val="en-US"/>
        </w:rPr>
        <w:t>2019年度一般转移支付资金绩效目标完成度较好，良好的提高了审判管理精细化水平，维护社会公平正义；满足了审判业务装备的优化升级，但离目标值还有一定的差距，主要原因有以下几点：</w:t>
      </w:r>
    </w:p>
    <w:p>
      <w:pPr>
        <w:pStyle w:val="3"/>
        <w:spacing w:before="190" w:line="350" w:lineRule="auto"/>
        <w:ind w:left="226" w:right="679" w:firstLine="640"/>
        <w:rPr>
          <w:lang w:val="en-US"/>
        </w:rPr>
      </w:pPr>
      <w:r>
        <w:rPr>
          <w:rFonts w:hint="eastAsia"/>
          <w:lang w:val="en-US" w:eastAsia="zh-CN"/>
        </w:rPr>
        <w:t>1、</w:t>
      </w:r>
      <w:r>
        <w:rPr>
          <w:rFonts w:hint="eastAsia"/>
          <w:lang w:val="en-US"/>
        </w:rPr>
        <w:t>购买的装备已经满足了需求，所以没有达到目标值90件。2、执行案件难度大，全省平均执结率在50%左右，我院集中开展执行行动取得良好效果，但离目标还有一定的距离。3、法院办案水平和审判能力还需进一步提升，社会满意度还需进一步增加，我院要进一步提高审判业务水平，全面推进诉讼服务体系建设，全面提高审判管理精细化水平，切实履行好维护国家政治安全、确保社会大局稳定、促进社会公平正义、保障人民安居乐业</w:t>
      </w:r>
    </w:p>
    <w:bookmarkEnd w:id="0"/>
    <w:p>
      <w:pPr>
        <w:pStyle w:val="3"/>
        <w:numPr>
          <w:ilvl w:val="0"/>
          <w:numId w:val="2"/>
        </w:numPr>
        <w:spacing w:before="190" w:line="350" w:lineRule="auto"/>
        <w:ind w:right="905"/>
        <w:rPr>
          <w:rFonts w:ascii="黑体" w:hAnsi="黑体" w:eastAsia="黑体" w:cs="黑体"/>
          <w:lang w:val="en-US"/>
        </w:rPr>
      </w:pPr>
      <w:r>
        <w:rPr>
          <w:rFonts w:hint="eastAsia" w:ascii="黑体" w:hAnsi="黑体" w:eastAsia="黑体" w:cs="黑体"/>
          <w:lang w:val="en-US"/>
        </w:rPr>
        <w:t>绩效自评结果拟应用和公开情况</w:t>
      </w:r>
    </w:p>
    <w:p>
      <w:pPr>
        <w:pStyle w:val="3"/>
        <w:spacing w:before="190" w:line="350" w:lineRule="auto"/>
        <w:ind w:right="905"/>
        <w:rPr>
          <w:lang w:val="en-US"/>
        </w:rPr>
      </w:pPr>
      <w:r>
        <w:rPr>
          <w:rFonts w:hint="eastAsia"/>
          <w:lang w:val="en-US"/>
        </w:rPr>
        <w:t>1、我单位根据绩效评定指标对各项目量化评价，自评指标得分较好。</w:t>
      </w:r>
    </w:p>
    <w:p>
      <w:pPr>
        <w:pStyle w:val="3"/>
        <w:spacing w:before="190" w:line="350" w:lineRule="auto"/>
        <w:ind w:right="905"/>
        <w:rPr>
          <w:lang w:val="en-US"/>
        </w:rPr>
      </w:pPr>
      <w:r>
        <w:rPr>
          <w:rFonts w:hint="eastAsia"/>
          <w:lang w:val="en-US"/>
        </w:rPr>
        <w:t>2、将项目支出后的实际状况与项目申报的绩效目标进行对比分析。按项目实际支出和项目申报绩效目标进行对比分析所有项目均与批复下达相符，良好的提高了审判管理精细化水平，维护社会公平正义；满足了审判业务装备的优化升级。转移支付资金使用效益持续提升。</w:t>
      </w:r>
    </w:p>
    <w:p>
      <w:pPr>
        <w:pStyle w:val="3"/>
        <w:spacing w:before="190" w:line="350" w:lineRule="auto"/>
        <w:ind w:right="905"/>
        <w:rPr>
          <w:rFonts w:ascii="黑体" w:hAnsi="黑体" w:eastAsia="黑体" w:cs="黑体"/>
          <w:lang w:val="en-US"/>
        </w:rPr>
      </w:pPr>
      <w:r>
        <w:rPr>
          <w:rFonts w:hint="eastAsia"/>
          <w:lang w:val="en-US"/>
        </w:rPr>
        <w:t>3、我院结合财政批复的部门预算及绩效目标、项目支出、部门预算绩效管理考核及支出绩效报告等，形成我单位年度预算绩效报告，并按照政务公开相关规定，发布我院预算年度报告，增强评价结果的透明度。</w:t>
      </w:r>
    </w:p>
    <w:p>
      <w:pPr>
        <w:pStyle w:val="3"/>
        <w:numPr>
          <w:ilvl w:val="0"/>
          <w:numId w:val="2"/>
        </w:numPr>
        <w:spacing w:before="190" w:line="350" w:lineRule="auto"/>
        <w:ind w:right="905"/>
        <w:rPr>
          <w:rFonts w:ascii="黑体" w:hAnsi="黑体" w:eastAsia="黑体" w:cs="黑体"/>
          <w:lang w:val="en-US"/>
        </w:rPr>
      </w:pPr>
      <w:r>
        <w:rPr>
          <w:rFonts w:hint="eastAsia" w:ascii="黑体" w:hAnsi="黑体" w:eastAsia="黑体" w:cs="黑体"/>
          <w:lang w:val="en-US"/>
        </w:rPr>
        <w:t>其他需要说明的问题</w:t>
      </w:r>
    </w:p>
    <w:p>
      <w:pPr>
        <w:ind w:firstLine="640" w:firstLineChars="200"/>
        <w:rPr>
          <w:sz w:val="32"/>
          <w:szCs w:val="32"/>
          <w:lang w:val="en-US"/>
        </w:rPr>
      </w:pPr>
      <w:r>
        <w:rPr>
          <w:rFonts w:hint="eastAsia"/>
          <w:sz w:val="32"/>
          <w:szCs w:val="32"/>
          <w:lang w:val="en-US"/>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6" o:spid="_x0000_s1026" o:spt="202" type="#_x0000_t202" style="position:absolute;left:0pt;margin-left:474.85pt;margin-top:783.2pt;height:18pt;width:41.95pt;mso-position-horizontal-relative:page;mso-position-vertical-relative:page;z-index:-255221760;mso-width-relative:page;mso-height-relative:page;" filled="f" stroked="f" coordsize="21600,21600" o:gfxdata="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AfM//3AAAAA4BAAAPAAAA&#10;AAAAAAEAIAAAACIAAABkcnMvZG93bnJldi54bWxQSwECFAAUAAAACACHTuJAzvy0f58BAAAjAwAA&#10;DgAAAAAAAAABACAAAAArAQAAZHJzL2Uyb0RvYy54bWxQSwUGAAAAAAYABgBZAQAAPAUAAAAA&#10;">
          <v:path/>
          <v:fill on="f" focussize="0,0"/>
          <v:stroke on="f" joinstyle="miter"/>
          <v:imagedata o:title=""/>
          <o:lock v:ext="edit"/>
          <v:textbox inset="0mm,0mm,0mm,0mm">
            <w:txbxContent>
              <w:p>
                <w:pPr>
                  <w:pStyle w:val="3"/>
                  <w:spacing w:line="360" w:lineRule="exact"/>
                  <w:ind w:left="20"/>
                  <w:rPr>
                    <w:rFonts w:ascii="宋体"/>
                  </w:rPr>
                </w:pPr>
                <w:r>
                  <w:rPr>
                    <w:rFonts w:ascii="宋体"/>
                  </w:rPr>
                  <w:t xml:space="preserve">- </w:t>
                </w:r>
                <w:r>
                  <w:fldChar w:fldCharType="begin"/>
                </w:r>
                <w:r>
                  <w:rPr>
                    <w:rFonts w:ascii="宋体"/>
                  </w:rPr>
                  <w:instrText xml:space="preserve"> PAGE </w:instrText>
                </w:r>
                <w:r>
                  <w:fldChar w:fldCharType="separate"/>
                </w:r>
                <w:r>
                  <w:rPr>
                    <w:rFonts w:ascii="宋体"/>
                  </w:rPr>
                  <w:t>5</w:t>
                </w:r>
                <w:r>
                  <w:fldChar w:fldCharType="end"/>
                </w:r>
                <w:r>
                  <w:rPr>
                    <w:rFonts w:ascii="宋体"/>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1027" o:spid="_x0000_s1027" o:spt="202" type="#_x0000_t202" style="position:absolute;left:0pt;margin-left:78.3pt;margin-top:783.2pt;height:18pt;width:42.05pt;mso-position-horizontal-relative:page;mso-position-vertical-relative:page;z-index:-255220736;mso-width-relative:page;mso-height-relative:page;" filled="f" stroked="f" coordsize="21600,21600" o:gfxdata="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RBXUY2QAAAA0BAAAPAAAAAAAA&#10;AAEAIAAAACIAAABkcnMvZG93bnJldi54bWxQSwECFAAUAAAACACHTuJAwSNbOJ8BAAAjAwAADgAA&#10;AAAAAAABACAAAAAoAQAAZHJzL2Uyb0RvYy54bWxQSwUGAAAAAAYABgBZAQAAOQUAAAAA&#10;">
          <v:path/>
          <v:fill on="f" focussize="0,0"/>
          <v:stroke on="f" joinstyle="miter"/>
          <v:imagedata o:title=""/>
          <o:lock v:ext="edit"/>
          <v:textbox inset="0mm,0mm,0mm,0mm">
            <w:txbxContent>
              <w:p>
                <w:pPr>
                  <w:pStyle w:val="3"/>
                  <w:spacing w:line="360" w:lineRule="exact"/>
                  <w:ind w:left="20"/>
                  <w:rPr>
                    <w:rFonts w:ascii="宋体"/>
                  </w:rPr>
                </w:pPr>
                <w:r>
                  <w:rPr>
                    <w:rFonts w:ascii="宋体"/>
                  </w:rPr>
                  <w:t xml:space="preserve">- </w:t>
                </w:r>
                <w:r>
                  <w:fldChar w:fldCharType="begin"/>
                </w:r>
                <w:r>
                  <w:rPr>
                    <w:rFonts w:ascii="宋体"/>
                  </w:rPr>
                  <w:instrText xml:space="preserve"> PAGE </w:instrText>
                </w:r>
                <w:r>
                  <w:fldChar w:fldCharType="separate"/>
                </w:r>
                <w:r>
                  <w:t>2</w:t>
                </w:r>
                <w:r>
                  <w:fldChar w:fldCharType="end"/>
                </w:r>
                <w:r>
                  <w:rPr>
                    <w:rFonts w:ascii="宋体"/>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E97E14"/>
    <w:multiLevelType w:val="singleLevel"/>
    <w:tmpl w:val="D8E97E14"/>
    <w:lvl w:ilvl="0" w:tentative="0">
      <w:start w:val="1"/>
      <w:numFmt w:val="chineseCounting"/>
      <w:suff w:val="nothing"/>
      <w:lvlText w:val="（%1）"/>
      <w:lvlJc w:val="left"/>
      <w:rPr>
        <w:rFonts w:hint="eastAsia"/>
      </w:rPr>
    </w:lvl>
  </w:abstractNum>
  <w:abstractNum w:abstractNumId="1">
    <w:nsid w:val="2B95493E"/>
    <w:multiLevelType w:val="singleLevel"/>
    <w:tmpl w:val="2B95493E"/>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F37569A"/>
    <w:rsid w:val="002C1AC6"/>
    <w:rsid w:val="00DB44B9"/>
    <w:rsid w:val="191A2691"/>
    <w:rsid w:val="1AF75214"/>
    <w:rsid w:val="3F37569A"/>
    <w:rsid w:val="411374BF"/>
    <w:rsid w:val="5BD04F6A"/>
    <w:rsid w:val="69310D68"/>
    <w:rsid w:val="6CF4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right="680"/>
      <w:jc w:val="center"/>
      <w:outlineLvl w:val="0"/>
    </w:pPr>
    <w:rPr>
      <w:rFonts w:ascii="方正小标宋简体" w:hAnsi="方正小标宋简体" w:eastAsia="方正小标宋简体" w:cs="方正小标宋简体"/>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FollowedHyperlink"/>
    <w:basedOn w:val="6"/>
    <w:qFormat/>
    <w:uiPriority w:val="0"/>
    <w:rPr>
      <w:rFonts w:hint="eastAsia" w:ascii="微软雅黑" w:hAnsi="微软雅黑" w:eastAsia="微软雅黑" w:cs="微软雅黑"/>
      <w:color w:val="000000"/>
      <w:sz w:val="18"/>
      <w:szCs w:val="18"/>
      <w:u w:val="none"/>
    </w:rPr>
  </w:style>
  <w:style w:type="character" w:styleId="8">
    <w:name w:val="Hyperlink"/>
    <w:basedOn w:val="6"/>
    <w:qFormat/>
    <w:uiPriority w:val="0"/>
    <w:rPr>
      <w:rFonts w:ascii="微软雅黑" w:hAnsi="微软雅黑" w:eastAsia="微软雅黑" w:cs="微软雅黑"/>
      <w:color w:val="000000"/>
      <w:sz w:val="18"/>
      <w:szCs w:val="18"/>
      <w:u w:val="none"/>
    </w:rPr>
  </w:style>
  <w:style w:type="paragraph" w:styleId="9">
    <w:name w:val="List Paragraph"/>
    <w:basedOn w:val="1"/>
    <w:qFormat/>
    <w:uiPriority w:val="1"/>
    <w:pPr>
      <w:spacing w:before="190"/>
      <w:ind w:left="1668" w:hanging="802"/>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1863</Words>
  <Characters>199</Characters>
  <Lines>1</Lines>
  <Paragraphs>4</Paragraphs>
  <TotalTime>49</TotalTime>
  <ScaleCrop>false</ScaleCrop>
  <LinksUpToDate>false</LinksUpToDate>
  <CharactersWithSpaces>2058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2020-09-07T06:46:00Z</dcterms:created>
  <dc:creator>老马</dc:creator>
  <cp:lastModifiedBy>dreamhigh</cp:lastModifiedBy>
  <dcterms:modified xsi:type="dcterms:W3CDTF">2021-01-06T09:12:48Z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